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EA29E" w14:textId="4D9AA8A9" w:rsidR="009A296A" w:rsidRPr="0068620E" w:rsidRDefault="00BB1D80" w:rsidP="00E834C0">
      <w:pPr>
        <w:jc w:val="both"/>
        <w:rPr>
          <w:i/>
          <w:iCs/>
        </w:rPr>
      </w:pPr>
      <w:r w:rsidRPr="0068620E">
        <w:rPr>
          <w:i/>
          <w:iCs/>
        </w:rPr>
        <w:t>Piano integrato di attività e organizzazione (PIAO)</w:t>
      </w:r>
    </w:p>
    <w:p w14:paraId="414535FC" w14:textId="17F9AFEA" w:rsidR="00BB1D80" w:rsidRDefault="00BB1D80" w:rsidP="00E834C0">
      <w:pPr>
        <w:jc w:val="both"/>
      </w:pPr>
      <w:r w:rsidRPr="00C851C9">
        <w:t>Sezione 3: Organizzazione e capitale umano</w:t>
      </w:r>
    </w:p>
    <w:p w14:paraId="7D70E817" w14:textId="77777777" w:rsidR="00C63320" w:rsidRDefault="00C63320" w:rsidP="00E834C0">
      <w:pPr>
        <w:jc w:val="both"/>
        <w:rPr>
          <w:b/>
          <w:bCs/>
        </w:rPr>
      </w:pPr>
    </w:p>
    <w:p w14:paraId="60DE51A3" w14:textId="7AE1123C" w:rsidR="00BB1D80" w:rsidRDefault="00BB1D80" w:rsidP="00C63320">
      <w:pPr>
        <w:jc w:val="center"/>
        <w:rPr>
          <w:b/>
          <w:bCs/>
        </w:rPr>
      </w:pPr>
      <w:r w:rsidRPr="000C09B7">
        <w:rPr>
          <w:b/>
          <w:bCs/>
        </w:rPr>
        <w:t>Sottosezione 3.3: Piano triennale dei fabbisogni di personale</w:t>
      </w:r>
      <w:r w:rsidR="00C63320">
        <w:rPr>
          <w:b/>
          <w:bCs/>
        </w:rPr>
        <w:t xml:space="preserve"> (PTFP)</w:t>
      </w:r>
    </w:p>
    <w:p w14:paraId="14337762" w14:textId="77777777" w:rsidR="00050833" w:rsidRDefault="00050833" w:rsidP="00C63320">
      <w:pPr>
        <w:jc w:val="center"/>
        <w:rPr>
          <w:b/>
          <w:bCs/>
        </w:rPr>
      </w:pPr>
    </w:p>
    <w:p w14:paraId="0498B080" w14:textId="77777777" w:rsidR="00EF5F74" w:rsidRDefault="00EF5F74" w:rsidP="00C63320">
      <w:pPr>
        <w:jc w:val="center"/>
        <w:rPr>
          <w:b/>
          <w:bCs/>
        </w:rPr>
      </w:pPr>
    </w:p>
    <w:tbl>
      <w:tblPr>
        <w:tblW w:w="13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7"/>
      </w:tblGrid>
      <w:tr w:rsidR="00BC0BEC" w14:paraId="69E22259" w14:textId="77777777" w:rsidTr="00EF5F74">
        <w:trPr>
          <w:trHeight w:val="2508"/>
        </w:trPr>
        <w:tc>
          <w:tcPr>
            <w:tcW w:w="13997" w:type="dxa"/>
            <w:shd w:val="clear" w:color="auto" w:fill="EDEDED" w:themeFill="accent3" w:themeFillTint="33"/>
          </w:tcPr>
          <w:p w14:paraId="234CB196" w14:textId="77777777" w:rsidR="00BC0BEC" w:rsidRPr="00EF5F74" w:rsidRDefault="00BC0BEC" w:rsidP="00BC0BEC">
            <w:pPr>
              <w:ind w:left="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>Riferimenti normativi:</w:t>
            </w:r>
          </w:p>
          <w:p w14:paraId="504587A1" w14:textId="6FBA287A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 xml:space="preserve">articolo 6 del d.l. 80/2021, convertito in legge 113/2021 (introduzione </w:t>
            </w:r>
            <w:r w:rsidR="0026513B" w:rsidRPr="00EF5F74">
              <w:rPr>
                <w:sz w:val="18"/>
                <w:szCs w:val="16"/>
              </w:rPr>
              <w:t xml:space="preserve">nell’ordinamento </w:t>
            </w:r>
            <w:r w:rsidRPr="00EF5F74">
              <w:rPr>
                <w:sz w:val="18"/>
                <w:szCs w:val="16"/>
              </w:rPr>
              <w:t>del PIAO</w:t>
            </w:r>
            <w:r w:rsidR="0026513B" w:rsidRPr="00EF5F74">
              <w:rPr>
                <w:sz w:val="18"/>
                <w:szCs w:val="16"/>
              </w:rPr>
              <w:t xml:space="preserve"> – Piano integrato di attività e organizzazione</w:t>
            </w:r>
            <w:r w:rsidRPr="00EF5F74">
              <w:rPr>
                <w:sz w:val="18"/>
                <w:szCs w:val="16"/>
              </w:rPr>
              <w:t>);</w:t>
            </w:r>
          </w:p>
          <w:p w14:paraId="167117EA" w14:textId="16650CE7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>articolo 6 del d.lgs. 165/2001 (</w:t>
            </w:r>
            <w:r w:rsidR="0026513B" w:rsidRPr="00EF5F74">
              <w:rPr>
                <w:sz w:val="18"/>
                <w:szCs w:val="16"/>
              </w:rPr>
              <w:t>PTFP - P</w:t>
            </w:r>
            <w:r w:rsidRPr="00EF5F74">
              <w:rPr>
                <w:sz w:val="18"/>
                <w:szCs w:val="16"/>
              </w:rPr>
              <w:t>iano triennale dei fabbisogni di personale);</w:t>
            </w:r>
          </w:p>
          <w:p w14:paraId="18B5A888" w14:textId="23C0700A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>articolo 4, comma 1, lett. c) del</w:t>
            </w:r>
            <w:r w:rsidR="00740800" w:rsidRPr="00EF5F74">
              <w:rPr>
                <w:sz w:val="18"/>
                <w:szCs w:val="16"/>
              </w:rPr>
              <w:t xml:space="preserve"> de</w:t>
            </w:r>
            <w:r w:rsidRPr="00EF5F74">
              <w:rPr>
                <w:sz w:val="18"/>
                <w:szCs w:val="16"/>
              </w:rPr>
              <w:t xml:space="preserve">creto ministeriale </w:t>
            </w:r>
            <w:r w:rsidR="00BA323E">
              <w:rPr>
                <w:sz w:val="18"/>
                <w:szCs w:val="16"/>
              </w:rPr>
              <w:t>n. 132/2022</w:t>
            </w:r>
            <w:r w:rsidRPr="00EF5F74">
              <w:rPr>
                <w:sz w:val="18"/>
                <w:szCs w:val="16"/>
              </w:rPr>
              <w:t xml:space="preserve"> (contenente gli Schemi attuativi del PIAO);</w:t>
            </w:r>
          </w:p>
          <w:p w14:paraId="0C0F17CA" w14:textId="5699185A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 xml:space="preserve">articolo 33, comma 2, del d.l. 34/2019, convertito in legge 58/2019 (determinazione della capacità </w:t>
            </w:r>
            <w:r w:rsidR="0093405F" w:rsidRPr="00EF5F74">
              <w:rPr>
                <w:sz w:val="18"/>
                <w:szCs w:val="16"/>
              </w:rPr>
              <w:t>assunzionali</w:t>
            </w:r>
            <w:r w:rsidRPr="00EF5F74">
              <w:rPr>
                <w:sz w:val="18"/>
                <w:szCs w:val="16"/>
              </w:rPr>
              <w:t xml:space="preserve"> dei comuni);</w:t>
            </w:r>
          </w:p>
          <w:p w14:paraId="3A106491" w14:textId="468861F8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 xml:space="preserve">d.m. 17/03/2020, attuativo dell’articolo 33, comma 2 (definizione dei parametri </w:t>
            </w:r>
            <w:r w:rsidRPr="00EF5F74">
              <w:rPr>
                <w:i/>
                <w:iCs/>
                <w:sz w:val="18"/>
                <w:szCs w:val="16"/>
              </w:rPr>
              <w:t>soglia</w:t>
            </w:r>
            <w:r w:rsidRPr="00EF5F74">
              <w:rPr>
                <w:sz w:val="18"/>
                <w:szCs w:val="16"/>
              </w:rPr>
              <w:t xml:space="preserve"> e della capacità </w:t>
            </w:r>
            <w:r w:rsidR="0093405F" w:rsidRPr="00EF5F74">
              <w:rPr>
                <w:sz w:val="18"/>
                <w:szCs w:val="16"/>
              </w:rPr>
              <w:t>assunzionali</w:t>
            </w:r>
            <w:r w:rsidRPr="00EF5F74">
              <w:rPr>
                <w:sz w:val="18"/>
                <w:szCs w:val="16"/>
              </w:rPr>
              <w:t xml:space="preserve"> dei comuni);</w:t>
            </w:r>
          </w:p>
          <w:p w14:paraId="21EEF3C2" w14:textId="77777777" w:rsidR="00BC0BEC" w:rsidRPr="00EF5F74" w:rsidRDefault="00BC0BEC" w:rsidP="00BC0BEC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18"/>
                <w:szCs w:val="16"/>
              </w:rPr>
            </w:pPr>
            <w:r w:rsidRPr="00EF5F74">
              <w:rPr>
                <w:sz w:val="18"/>
                <w:szCs w:val="16"/>
              </w:rPr>
              <w:t>articolo 1, comma 557 o 562, della legge 296/2006 (tetto di spesa di personale in valore assoluto);</w:t>
            </w:r>
          </w:p>
          <w:p w14:paraId="1F122CE1" w14:textId="77777777" w:rsidR="00042DED" w:rsidRPr="00EF5F74" w:rsidRDefault="00BC0BEC" w:rsidP="00042DED">
            <w:pPr>
              <w:pStyle w:val="Paragrafoelenco"/>
              <w:numPr>
                <w:ilvl w:val="0"/>
                <w:numId w:val="1"/>
              </w:numPr>
              <w:ind w:left="723"/>
              <w:jc w:val="both"/>
              <w:rPr>
                <w:sz w:val="20"/>
                <w:szCs w:val="18"/>
              </w:rPr>
            </w:pPr>
            <w:r w:rsidRPr="00EF5F74">
              <w:rPr>
                <w:sz w:val="18"/>
                <w:szCs w:val="16"/>
              </w:rPr>
              <w:t>linee guida in materia di programmazione dei fabbisogni di personale del Dipartimento per la Funzione Pubblica, emanate in data 08/05/2018 e integrate in data 02/08/2022;</w:t>
            </w:r>
          </w:p>
          <w:p w14:paraId="2B013F32" w14:textId="683A4912" w:rsidR="00BC0BEC" w:rsidRDefault="00BC0BEC" w:rsidP="00042DED">
            <w:pPr>
              <w:pStyle w:val="Paragrafoelenco"/>
              <w:numPr>
                <w:ilvl w:val="0"/>
                <w:numId w:val="1"/>
              </w:numPr>
              <w:ind w:left="723"/>
              <w:jc w:val="both"/>
            </w:pPr>
            <w:r w:rsidRPr="00EF5F74">
              <w:rPr>
                <w:sz w:val="18"/>
                <w:szCs w:val="16"/>
              </w:rPr>
              <w:t>articolo 33 del d.lgs. 165/2001 (verifica delle eccedenze di personale).</w:t>
            </w:r>
          </w:p>
        </w:tc>
      </w:tr>
    </w:tbl>
    <w:p w14:paraId="1A4AC051" w14:textId="77777777" w:rsidR="00D678C7" w:rsidRDefault="00D678C7" w:rsidP="00E834C0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3"/>
        <w:gridCol w:w="3480"/>
        <w:gridCol w:w="9073"/>
      </w:tblGrid>
      <w:tr w:rsidR="000C09B7" w14:paraId="60AE93A3" w14:textId="77777777" w:rsidTr="00FC461C">
        <w:tc>
          <w:tcPr>
            <w:tcW w:w="1793" w:type="dxa"/>
            <w:vMerge w:val="restart"/>
          </w:tcPr>
          <w:p w14:paraId="6E8C75F4" w14:textId="367DB103" w:rsidR="000C09B7" w:rsidRPr="00E834C0" w:rsidRDefault="000C09B7" w:rsidP="00E834C0">
            <w:pPr>
              <w:rPr>
                <w:b/>
                <w:bCs/>
              </w:rPr>
            </w:pPr>
            <w:r w:rsidRPr="00E834C0">
              <w:rPr>
                <w:b/>
                <w:bCs/>
              </w:rPr>
              <w:t>3.3 Piano triennale dei fabbisogni di personale</w:t>
            </w:r>
          </w:p>
        </w:tc>
        <w:tc>
          <w:tcPr>
            <w:tcW w:w="3480" w:type="dxa"/>
            <w:shd w:val="clear" w:color="auto" w:fill="D5DCE4" w:themeFill="text2" w:themeFillTint="33"/>
          </w:tcPr>
          <w:p w14:paraId="0A30B7C1" w14:textId="77777777" w:rsidR="000C09B7" w:rsidRPr="00DB76B9" w:rsidRDefault="00E834C0" w:rsidP="00E834C0">
            <w:pPr>
              <w:jc w:val="both"/>
              <w:rPr>
                <w:sz w:val="18"/>
                <w:szCs w:val="18"/>
              </w:rPr>
            </w:pPr>
            <w:r w:rsidRPr="00DB76B9">
              <w:rPr>
                <w:sz w:val="18"/>
                <w:szCs w:val="18"/>
              </w:rPr>
              <w:t xml:space="preserve">3.3.1 </w:t>
            </w:r>
            <w:r w:rsidR="00656BA5" w:rsidRPr="00DB76B9">
              <w:rPr>
                <w:sz w:val="18"/>
                <w:szCs w:val="18"/>
              </w:rPr>
              <w:t>Rappresentazione della consistenza di personale al 31 dicembre dell’anno precedente</w:t>
            </w:r>
          </w:p>
          <w:p w14:paraId="1D95F8F8" w14:textId="1BB240D6" w:rsidR="00186844" w:rsidRPr="00644142" w:rsidRDefault="00186844" w:rsidP="00E834C0">
            <w:pPr>
              <w:jc w:val="both"/>
              <w:rPr>
                <w:sz w:val="20"/>
              </w:rPr>
            </w:pPr>
          </w:p>
        </w:tc>
        <w:tc>
          <w:tcPr>
            <w:tcW w:w="9073" w:type="dxa"/>
          </w:tcPr>
          <w:p w14:paraId="2C667814" w14:textId="48D7D96A" w:rsidR="000C09B7" w:rsidRPr="00186844" w:rsidRDefault="00805EF7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b/>
                <w:bCs/>
                <w:sz w:val="18"/>
                <w:szCs w:val="18"/>
              </w:rPr>
              <w:t>DOTAZIONE ORGANICA COMPLESSIVA AL 31/12/202</w:t>
            </w:r>
            <w:r w:rsidR="00B933C1">
              <w:rPr>
                <w:rFonts w:cs="Arial"/>
                <w:b/>
                <w:bCs/>
                <w:sz w:val="18"/>
                <w:szCs w:val="18"/>
              </w:rPr>
              <w:t>3</w:t>
            </w:r>
            <w:r w:rsidRPr="00186844">
              <w:rPr>
                <w:rFonts w:cs="Arial"/>
                <w:sz w:val="18"/>
                <w:szCs w:val="18"/>
              </w:rPr>
              <w:t>:</w:t>
            </w:r>
          </w:p>
          <w:p w14:paraId="5E4C30A5" w14:textId="77777777" w:rsidR="00B144D2" w:rsidRPr="00186844" w:rsidRDefault="00B144D2" w:rsidP="00E834C0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18DF1E17" w14:textId="2CD02D1E" w:rsidR="006C4E11" w:rsidRPr="003661AD" w:rsidRDefault="00B96BFA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TOTALE: </w:t>
            </w:r>
            <w:r w:rsidR="00805EF7" w:rsidRPr="00186844">
              <w:rPr>
                <w:rFonts w:cs="Arial"/>
                <w:sz w:val="18"/>
                <w:szCs w:val="18"/>
              </w:rPr>
              <w:t xml:space="preserve">n. </w:t>
            </w:r>
            <w:r w:rsidR="00B933C1">
              <w:rPr>
                <w:rFonts w:cs="Arial"/>
                <w:sz w:val="18"/>
                <w:szCs w:val="18"/>
              </w:rPr>
              <w:t>9</w:t>
            </w:r>
            <w:r w:rsidR="00805EF7" w:rsidRPr="00186844">
              <w:rPr>
                <w:rFonts w:cs="Arial"/>
                <w:sz w:val="18"/>
                <w:szCs w:val="18"/>
              </w:rPr>
              <w:t xml:space="preserve"> unità</w:t>
            </w:r>
            <w:r w:rsidRPr="00186844">
              <w:rPr>
                <w:rFonts w:cs="Arial"/>
                <w:sz w:val="18"/>
                <w:szCs w:val="18"/>
              </w:rPr>
              <w:t xml:space="preserve"> di personale</w:t>
            </w:r>
          </w:p>
          <w:p w14:paraId="5D486E63" w14:textId="52C47CB6" w:rsidR="00B96BFA" w:rsidRPr="00186844" w:rsidRDefault="00B96BFA" w:rsidP="00B96BFA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86844">
              <w:rPr>
                <w:rFonts w:cs="Arial"/>
                <w:i/>
                <w:iCs/>
                <w:sz w:val="18"/>
                <w:szCs w:val="18"/>
              </w:rPr>
              <w:t>di cui:</w:t>
            </w:r>
          </w:p>
          <w:p w14:paraId="3EBFC640" w14:textId="319A4EFB" w:rsidR="00B96BFA" w:rsidRPr="00186844" w:rsidRDefault="00B96BFA" w:rsidP="00B96BFA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8</w:t>
            </w:r>
            <w:r w:rsidRPr="00186844">
              <w:rPr>
                <w:rFonts w:cs="Arial"/>
                <w:sz w:val="18"/>
                <w:szCs w:val="18"/>
              </w:rPr>
              <w:t xml:space="preserve"> a tempo indeterminato</w:t>
            </w:r>
          </w:p>
          <w:p w14:paraId="098EEF3D" w14:textId="120AF627" w:rsidR="00B96BFA" w:rsidRPr="00186844" w:rsidRDefault="00B96BFA" w:rsidP="00B96BFA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1</w:t>
            </w:r>
            <w:r w:rsidRPr="00186844">
              <w:rPr>
                <w:rFonts w:cs="Arial"/>
                <w:sz w:val="18"/>
                <w:szCs w:val="18"/>
              </w:rPr>
              <w:t xml:space="preserve"> a tempo determinato</w:t>
            </w:r>
          </w:p>
          <w:p w14:paraId="7428C0B0" w14:textId="664934E9" w:rsidR="006C4E11" w:rsidRPr="00186844" w:rsidRDefault="006C4E11" w:rsidP="00B96BFA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6</w:t>
            </w:r>
            <w:r w:rsidRPr="00186844">
              <w:rPr>
                <w:rFonts w:cs="Arial"/>
                <w:sz w:val="18"/>
                <w:szCs w:val="18"/>
              </w:rPr>
              <w:t xml:space="preserve"> a tempo pieno</w:t>
            </w:r>
          </w:p>
          <w:p w14:paraId="50920E21" w14:textId="07D3AB4C" w:rsidR="006C4E11" w:rsidRDefault="006C4E11" w:rsidP="00B96BFA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3</w:t>
            </w:r>
            <w:r w:rsidRPr="00186844">
              <w:rPr>
                <w:rFonts w:cs="Arial"/>
                <w:sz w:val="18"/>
                <w:szCs w:val="18"/>
              </w:rPr>
              <w:t xml:space="preserve"> a tempo parziale</w:t>
            </w:r>
          </w:p>
          <w:p w14:paraId="0600222E" w14:textId="00E3E554" w:rsidR="00B96BFA" w:rsidRPr="00186844" w:rsidRDefault="003661AD" w:rsidP="00B96BFA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n. 1 in comando</w:t>
            </w:r>
          </w:p>
          <w:p w14:paraId="6D70AC00" w14:textId="77777777" w:rsidR="007B5B0E" w:rsidRPr="00186844" w:rsidRDefault="007B5B0E" w:rsidP="00E834C0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107114C5" w14:textId="6C68B40B" w:rsidR="00657259" w:rsidRPr="00186844" w:rsidRDefault="00541BE9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186844">
              <w:rPr>
                <w:rFonts w:cs="Arial"/>
                <w:b/>
                <w:bCs/>
                <w:sz w:val="18"/>
                <w:szCs w:val="18"/>
              </w:rPr>
              <w:t>SUDDIVISIONE DEL PERSONALE NELLE AREE/CATEGORIE DI INQUADRAMENTO</w:t>
            </w:r>
          </w:p>
          <w:p w14:paraId="61F6D501" w14:textId="7D591442" w:rsidR="00305C51" w:rsidRPr="00186844" w:rsidRDefault="00657259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5</w:t>
            </w:r>
            <w:r w:rsidRPr="00186844">
              <w:rPr>
                <w:rFonts w:cs="Arial"/>
                <w:sz w:val="18"/>
                <w:szCs w:val="18"/>
              </w:rPr>
              <w:t xml:space="preserve"> cat. </w:t>
            </w:r>
            <w:r w:rsidR="003443F7">
              <w:rPr>
                <w:rFonts w:cs="Arial"/>
                <w:sz w:val="18"/>
                <w:szCs w:val="18"/>
              </w:rPr>
              <w:t>Funzionari ed Elevata Qualificazione</w:t>
            </w:r>
          </w:p>
          <w:p w14:paraId="69935792" w14:textId="07D706B0" w:rsidR="00657259" w:rsidRPr="00186844" w:rsidRDefault="006C4E11" w:rsidP="00E834C0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86844">
              <w:rPr>
                <w:rFonts w:cs="Arial"/>
                <w:i/>
                <w:iCs/>
                <w:sz w:val="18"/>
                <w:szCs w:val="18"/>
              </w:rPr>
              <w:t>così articolate</w:t>
            </w:r>
          </w:p>
          <w:p w14:paraId="63A05F74" w14:textId="2249E910" w:rsidR="00657259" w:rsidRPr="00305C51" w:rsidRDefault="00657259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1</w:t>
            </w:r>
            <w:r w:rsidRPr="00186844">
              <w:rPr>
                <w:rFonts w:cs="Arial"/>
                <w:sz w:val="18"/>
                <w:szCs w:val="18"/>
              </w:rPr>
              <w:t xml:space="preserve"> con profilo </w:t>
            </w:r>
            <w:r w:rsidR="00305C51" w:rsidRPr="00186844">
              <w:rPr>
                <w:rFonts w:cs="Arial"/>
                <w:sz w:val="18"/>
                <w:szCs w:val="18"/>
              </w:rPr>
              <w:t xml:space="preserve">di </w:t>
            </w:r>
            <w:r w:rsidR="00305C51" w:rsidRPr="00305C51">
              <w:rPr>
                <w:rFonts w:cs="Arial"/>
                <w:i/>
                <w:iCs/>
                <w:sz w:val="18"/>
                <w:szCs w:val="18"/>
              </w:rPr>
              <w:t>Istruttore</w:t>
            </w:r>
            <w:r w:rsidRPr="00305C51">
              <w:rPr>
                <w:rFonts w:cs="Arial"/>
                <w:i/>
                <w:iCs/>
                <w:sz w:val="18"/>
                <w:szCs w:val="18"/>
              </w:rPr>
              <w:t xml:space="preserve"> direttivo contabile</w:t>
            </w:r>
          </w:p>
          <w:p w14:paraId="63709E5A" w14:textId="5744A1EC" w:rsidR="00657259" w:rsidRPr="00305C51" w:rsidRDefault="00657259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305C51">
              <w:rPr>
                <w:rFonts w:cs="Arial"/>
                <w:sz w:val="18"/>
                <w:szCs w:val="18"/>
              </w:rPr>
              <w:t xml:space="preserve">n. </w:t>
            </w:r>
            <w:r w:rsidR="00305C51" w:rsidRPr="00305C51">
              <w:rPr>
                <w:rFonts w:cs="Arial"/>
                <w:sz w:val="18"/>
                <w:szCs w:val="18"/>
              </w:rPr>
              <w:t>1</w:t>
            </w:r>
            <w:r w:rsidRPr="00305C51">
              <w:rPr>
                <w:rFonts w:cs="Arial"/>
                <w:sz w:val="18"/>
                <w:szCs w:val="18"/>
              </w:rPr>
              <w:t xml:space="preserve"> con profilo </w:t>
            </w:r>
            <w:r w:rsidR="00305C51" w:rsidRPr="00305C51">
              <w:rPr>
                <w:rFonts w:cs="Arial"/>
                <w:sz w:val="18"/>
                <w:szCs w:val="18"/>
              </w:rPr>
              <w:t xml:space="preserve">di </w:t>
            </w:r>
            <w:r w:rsidR="00305C51" w:rsidRPr="00305C51">
              <w:rPr>
                <w:rFonts w:cs="Arial"/>
                <w:i/>
                <w:iCs/>
                <w:sz w:val="18"/>
                <w:szCs w:val="18"/>
              </w:rPr>
              <w:t>Istruttore</w:t>
            </w:r>
            <w:r w:rsidRPr="00305C51">
              <w:rPr>
                <w:rFonts w:cs="Arial"/>
                <w:i/>
                <w:iCs/>
                <w:sz w:val="18"/>
                <w:szCs w:val="18"/>
              </w:rPr>
              <w:t xml:space="preserve"> direttivo tecnico</w:t>
            </w:r>
          </w:p>
          <w:p w14:paraId="7A2BFB89" w14:textId="030BB65B" w:rsidR="00657259" w:rsidRPr="00186844" w:rsidRDefault="00657259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05C51">
              <w:rPr>
                <w:rFonts w:cs="Arial"/>
                <w:sz w:val="18"/>
                <w:szCs w:val="18"/>
              </w:rPr>
              <w:t>3</w:t>
            </w:r>
            <w:r w:rsidRPr="00186844">
              <w:rPr>
                <w:rFonts w:cs="Arial"/>
                <w:sz w:val="18"/>
                <w:szCs w:val="18"/>
              </w:rPr>
              <w:t xml:space="preserve"> con profilo </w:t>
            </w:r>
            <w:r w:rsidR="00305C51" w:rsidRPr="00186844">
              <w:rPr>
                <w:rFonts w:cs="Arial"/>
                <w:sz w:val="18"/>
                <w:szCs w:val="18"/>
              </w:rPr>
              <w:t>di Istruttore</w:t>
            </w:r>
            <w:r w:rsidR="00305C51">
              <w:rPr>
                <w:rFonts w:cs="Arial"/>
                <w:sz w:val="18"/>
                <w:szCs w:val="18"/>
              </w:rPr>
              <w:t xml:space="preserve"> direttivo amministrativo</w:t>
            </w:r>
          </w:p>
          <w:p w14:paraId="551C3DD9" w14:textId="77777777" w:rsidR="00657259" w:rsidRPr="00186844" w:rsidRDefault="00657259" w:rsidP="00E834C0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1E60E09A" w14:textId="22826F09" w:rsidR="00891CB6" w:rsidRPr="00186844" w:rsidRDefault="00891CB6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443F7">
              <w:rPr>
                <w:rFonts w:cs="Arial"/>
                <w:sz w:val="18"/>
                <w:szCs w:val="18"/>
              </w:rPr>
              <w:t>4</w:t>
            </w:r>
            <w:r w:rsidRPr="00186844">
              <w:rPr>
                <w:rFonts w:cs="Arial"/>
                <w:sz w:val="18"/>
                <w:szCs w:val="18"/>
              </w:rPr>
              <w:t xml:space="preserve"> cat. </w:t>
            </w:r>
            <w:r w:rsidR="003443F7">
              <w:rPr>
                <w:rFonts w:cs="Arial"/>
                <w:sz w:val="18"/>
                <w:szCs w:val="18"/>
              </w:rPr>
              <w:t>Istruttori</w:t>
            </w:r>
          </w:p>
          <w:p w14:paraId="3A7E8681" w14:textId="77777777" w:rsidR="00541BE9" w:rsidRPr="00186844" w:rsidRDefault="00541BE9" w:rsidP="00541BE9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186844">
              <w:rPr>
                <w:rFonts w:cs="Arial"/>
                <w:i/>
                <w:iCs/>
                <w:sz w:val="18"/>
                <w:szCs w:val="18"/>
              </w:rPr>
              <w:t>così articolate:</w:t>
            </w:r>
          </w:p>
          <w:p w14:paraId="46106C2A" w14:textId="32A27A6F" w:rsidR="00891CB6" w:rsidRPr="003443F7" w:rsidRDefault="00891CB6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n. </w:t>
            </w:r>
            <w:r w:rsidR="003443F7">
              <w:rPr>
                <w:rFonts w:cs="Arial"/>
                <w:sz w:val="18"/>
                <w:szCs w:val="18"/>
              </w:rPr>
              <w:t>3</w:t>
            </w:r>
            <w:r w:rsidRPr="00186844">
              <w:rPr>
                <w:rFonts w:cs="Arial"/>
                <w:sz w:val="18"/>
                <w:szCs w:val="18"/>
              </w:rPr>
              <w:t xml:space="preserve"> con profilo </w:t>
            </w:r>
            <w:r w:rsidR="003443F7" w:rsidRPr="003443F7">
              <w:rPr>
                <w:rFonts w:cs="Arial"/>
                <w:sz w:val="18"/>
                <w:szCs w:val="18"/>
              </w:rPr>
              <w:t xml:space="preserve">di </w:t>
            </w:r>
            <w:r w:rsidR="003443F7" w:rsidRPr="003443F7">
              <w:rPr>
                <w:rFonts w:cs="Arial"/>
                <w:i/>
                <w:iCs/>
                <w:sz w:val="18"/>
                <w:szCs w:val="18"/>
              </w:rPr>
              <w:t>Istruttore</w:t>
            </w:r>
            <w:r w:rsidRPr="003443F7">
              <w:rPr>
                <w:rFonts w:cs="Arial"/>
                <w:i/>
                <w:iCs/>
                <w:sz w:val="18"/>
                <w:szCs w:val="18"/>
              </w:rPr>
              <w:t xml:space="preserve"> amministrativo</w:t>
            </w:r>
          </w:p>
          <w:p w14:paraId="004EC04F" w14:textId="01C85899" w:rsidR="00891CB6" w:rsidRPr="003443F7" w:rsidRDefault="00891CB6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3443F7">
              <w:rPr>
                <w:rFonts w:cs="Arial"/>
                <w:sz w:val="18"/>
                <w:szCs w:val="18"/>
              </w:rPr>
              <w:t xml:space="preserve">n. </w:t>
            </w:r>
            <w:r w:rsidR="003443F7" w:rsidRPr="003443F7">
              <w:rPr>
                <w:rFonts w:cs="Arial"/>
                <w:sz w:val="18"/>
                <w:szCs w:val="18"/>
              </w:rPr>
              <w:t>1</w:t>
            </w:r>
            <w:r w:rsidRPr="003443F7">
              <w:rPr>
                <w:rFonts w:cs="Arial"/>
                <w:sz w:val="18"/>
                <w:szCs w:val="18"/>
              </w:rPr>
              <w:t xml:space="preserve"> con profilo di</w:t>
            </w:r>
            <w:r w:rsidR="003443F7" w:rsidRPr="003443F7">
              <w:rPr>
                <w:rFonts w:cs="Arial"/>
                <w:sz w:val="18"/>
                <w:szCs w:val="18"/>
              </w:rPr>
              <w:t xml:space="preserve"> </w:t>
            </w:r>
            <w:r w:rsidRPr="003443F7">
              <w:rPr>
                <w:rFonts w:cs="Arial"/>
                <w:i/>
                <w:iCs/>
                <w:sz w:val="18"/>
                <w:szCs w:val="18"/>
              </w:rPr>
              <w:t>Istruttore tecnico</w:t>
            </w:r>
          </w:p>
          <w:p w14:paraId="0E0EC4AE" w14:textId="05D4AF23" w:rsidR="00657259" w:rsidRDefault="00657259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7FDC8F1A" w14:textId="77777777" w:rsidR="003661AD" w:rsidRDefault="003661AD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437388F5" w14:textId="77777777" w:rsidR="003443F7" w:rsidRPr="00186844" w:rsidRDefault="003443F7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1D7D0827" w14:textId="5D367AB8" w:rsidR="00657259" w:rsidRPr="00186844" w:rsidRDefault="00657259" w:rsidP="00E834C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0C09B7" w14:paraId="0CAF560B" w14:textId="77777777" w:rsidTr="00FC461C">
        <w:tc>
          <w:tcPr>
            <w:tcW w:w="1793" w:type="dxa"/>
            <w:vMerge/>
          </w:tcPr>
          <w:p w14:paraId="2462BB65" w14:textId="77777777" w:rsidR="000C09B7" w:rsidRDefault="000C09B7" w:rsidP="00E834C0">
            <w:pPr>
              <w:jc w:val="both"/>
            </w:pPr>
          </w:p>
        </w:tc>
        <w:tc>
          <w:tcPr>
            <w:tcW w:w="3480" w:type="dxa"/>
            <w:shd w:val="clear" w:color="auto" w:fill="D9E2F3" w:themeFill="accent1" w:themeFillTint="33"/>
          </w:tcPr>
          <w:p w14:paraId="02513A86" w14:textId="77777777" w:rsidR="000C09B7" w:rsidRPr="00EE6A4E" w:rsidRDefault="00E834C0" w:rsidP="00E834C0">
            <w:pPr>
              <w:jc w:val="both"/>
              <w:rPr>
                <w:sz w:val="18"/>
                <w:szCs w:val="18"/>
              </w:rPr>
            </w:pPr>
            <w:r w:rsidRPr="00EE6A4E">
              <w:rPr>
                <w:sz w:val="18"/>
                <w:szCs w:val="18"/>
              </w:rPr>
              <w:t xml:space="preserve">3.3.2 </w:t>
            </w:r>
            <w:r w:rsidR="007B5B0E" w:rsidRPr="00EE6A4E">
              <w:rPr>
                <w:sz w:val="18"/>
                <w:szCs w:val="18"/>
              </w:rPr>
              <w:t>Programmazione strategica delle risorse umane</w:t>
            </w:r>
          </w:p>
          <w:p w14:paraId="394CB79A" w14:textId="31AC4791" w:rsidR="000A0205" w:rsidRPr="00C04172" w:rsidRDefault="000A0205" w:rsidP="000A0205">
            <w:pPr>
              <w:jc w:val="both"/>
              <w:rPr>
                <w:i/>
                <w:iCs/>
                <w:color w:val="FF0000"/>
                <w:sz w:val="18"/>
                <w:szCs w:val="18"/>
              </w:rPr>
            </w:pPr>
          </w:p>
          <w:p w14:paraId="7ABBC9BC" w14:textId="3A25C9AD" w:rsidR="00F87C6B" w:rsidRPr="00C04172" w:rsidRDefault="00F87C6B" w:rsidP="001B51CB">
            <w:pPr>
              <w:pStyle w:val="Paragrafoelenco"/>
              <w:numPr>
                <w:ilvl w:val="0"/>
                <w:numId w:val="1"/>
              </w:numPr>
              <w:jc w:val="both"/>
              <w:rPr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9073" w:type="dxa"/>
          </w:tcPr>
          <w:p w14:paraId="6C593F0D" w14:textId="10C906DA" w:rsidR="000C09B7" w:rsidRPr="00644142" w:rsidRDefault="00AD109A" w:rsidP="00E834C0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644142">
              <w:rPr>
                <w:rFonts w:cs="Arial"/>
                <w:b/>
                <w:bCs/>
                <w:sz w:val="20"/>
              </w:rPr>
              <w:t xml:space="preserve">capacità </w:t>
            </w:r>
            <w:r w:rsidR="003443F7" w:rsidRPr="00644142">
              <w:rPr>
                <w:rFonts w:cs="Arial"/>
                <w:b/>
                <w:bCs/>
                <w:sz w:val="20"/>
              </w:rPr>
              <w:t>assunzionali</w:t>
            </w:r>
            <w:r w:rsidRPr="00644142">
              <w:rPr>
                <w:rFonts w:cs="Arial"/>
                <w:b/>
                <w:bCs/>
                <w:sz w:val="20"/>
              </w:rPr>
              <w:t xml:space="preserve"> calcolata sulla base dei vigenti vincoli di spesa:</w:t>
            </w:r>
          </w:p>
          <w:p w14:paraId="686E691D" w14:textId="77777777" w:rsidR="00727DB2" w:rsidRDefault="00727DB2" w:rsidP="00E834C0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59549484" w14:textId="5BB7638A" w:rsidR="00727DB2" w:rsidRPr="00E824F6" w:rsidRDefault="002C55B5" w:rsidP="00E824F6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6B5E78">
              <w:rPr>
                <w:rFonts w:cs="Arial"/>
                <w:b/>
                <w:bCs/>
                <w:sz w:val="18"/>
                <w:szCs w:val="18"/>
              </w:rPr>
              <w:t xml:space="preserve">a.1) </w:t>
            </w:r>
            <w:r w:rsidR="006B5E78" w:rsidRPr="006B5E78">
              <w:rPr>
                <w:rFonts w:cs="Arial"/>
                <w:b/>
                <w:bCs/>
                <w:sz w:val="18"/>
                <w:szCs w:val="18"/>
              </w:rPr>
              <w:t>verifica degli spazi assunzionali a tempo indeterminato</w:t>
            </w:r>
          </w:p>
          <w:p w14:paraId="1CD27A7A" w14:textId="77777777" w:rsidR="00727DB2" w:rsidRDefault="00727DB2" w:rsidP="00727DB2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</w:p>
          <w:p w14:paraId="5F75CA32" w14:textId="27339276" w:rsidR="00C611EE" w:rsidRPr="00186844" w:rsidRDefault="00412F30" w:rsidP="00E834C0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>Atteso che, i</w:t>
            </w:r>
            <w:r w:rsidR="00C611EE" w:rsidRPr="00C611EE">
              <w:rPr>
                <w:rFonts w:cs="Arial"/>
                <w:sz w:val="18"/>
                <w:szCs w:val="18"/>
              </w:rPr>
              <w:t>n applicazione delle regole introdotte dal</w:t>
            </w:r>
            <w:r w:rsidR="00C611EE" w:rsidRPr="00186844">
              <w:rPr>
                <w:rFonts w:cs="Arial"/>
                <w:sz w:val="18"/>
                <w:szCs w:val="18"/>
              </w:rPr>
              <w:t>l’</w:t>
            </w:r>
            <w:r w:rsidR="00C611EE" w:rsidRPr="00C611EE">
              <w:rPr>
                <w:rFonts w:cs="Arial"/>
                <w:sz w:val="18"/>
                <w:szCs w:val="18"/>
              </w:rPr>
              <w:t>articolo 33, comma 2, del d.l. 34/2019 convertito in legge 58/2019 e s.m.i., e del decreto ministeriale attuativo</w:t>
            </w:r>
            <w:r w:rsidR="00C611EE" w:rsidRPr="00186844">
              <w:rPr>
                <w:rFonts w:cs="Arial"/>
                <w:sz w:val="18"/>
                <w:szCs w:val="18"/>
              </w:rPr>
              <w:t xml:space="preserve"> 17/03/2020</w:t>
            </w:r>
            <w:r w:rsidR="00C611EE" w:rsidRPr="00C611EE">
              <w:rPr>
                <w:rFonts w:cs="Arial"/>
                <w:sz w:val="18"/>
                <w:szCs w:val="18"/>
              </w:rPr>
              <w:t>, effettua</w:t>
            </w:r>
            <w:r w:rsidR="00906540" w:rsidRPr="00186844">
              <w:rPr>
                <w:rFonts w:cs="Arial"/>
                <w:sz w:val="18"/>
                <w:szCs w:val="18"/>
              </w:rPr>
              <w:t>t</w:t>
            </w:r>
            <w:r w:rsidR="00C611EE" w:rsidRPr="00C611EE">
              <w:rPr>
                <w:rFonts w:cs="Arial"/>
                <w:sz w:val="18"/>
                <w:szCs w:val="18"/>
              </w:rPr>
              <w:t xml:space="preserve">o il calcolo </w:t>
            </w:r>
            <w:r w:rsidR="00906540" w:rsidRPr="00186844">
              <w:rPr>
                <w:rFonts w:cs="Arial"/>
                <w:sz w:val="18"/>
                <w:szCs w:val="18"/>
              </w:rPr>
              <w:t xml:space="preserve">degli spazi assunzionali disponibili </w:t>
            </w:r>
            <w:r w:rsidR="00C611EE" w:rsidRPr="00C611EE">
              <w:rPr>
                <w:rFonts w:cs="Arial"/>
                <w:sz w:val="18"/>
                <w:szCs w:val="18"/>
              </w:rPr>
              <w:t>con riferimento al rendiconto di gestione degli anni 2019, 2020 e 2021 per le entrate, al netto del FCDE dell’ultima delle tre annualità considerate, e dell’anno 2021 per la spesa</w:t>
            </w:r>
            <w:r w:rsidR="00906540" w:rsidRPr="00186844">
              <w:rPr>
                <w:rFonts w:cs="Arial"/>
                <w:sz w:val="18"/>
                <w:szCs w:val="18"/>
              </w:rPr>
              <w:t xml:space="preserve"> di personale</w:t>
            </w:r>
            <w:r w:rsidR="00C611EE" w:rsidRPr="00C611EE">
              <w:rPr>
                <w:rFonts w:cs="Arial"/>
                <w:sz w:val="18"/>
                <w:szCs w:val="18"/>
              </w:rPr>
              <w:t xml:space="preserve">: </w:t>
            </w:r>
          </w:p>
          <w:p w14:paraId="5191E782" w14:textId="77777777" w:rsidR="00412F30" w:rsidRPr="00C611EE" w:rsidRDefault="00412F30" w:rsidP="00E834C0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</w:p>
          <w:p w14:paraId="44DACCBC" w14:textId="5ABFCB16" w:rsidR="00C611EE" w:rsidRPr="00A73C3E" w:rsidRDefault="00C611EE" w:rsidP="0005083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A73C3E">
              <w:rPr>
                <w:rFonts w:cs="Arial"/>
                <w:sz w:val="18"/>
                <w:szCs w:val="18"/>
              </w:rPr>
              <w:t xml:space="preserve">Il comune evidenzia un rapporto percentuale tra spesa ed entrate pari al </w:t>
            </w:r>
            <w:r w:rsidR="00A73C3E" w:rsidRPr="00A73C3E">
              <w:rPr>
                <w:rFonts w:cs="Arial"/>
                <w:sz w:val="18"/>
                <w:szCs w:val="18"/>
              </w:rPr>
              <w:t>16</w:t>
            </w:r>
            <w:r w:rsidR="00332029" w:rsidRPr="00A73C3E">
              <w:rPr>
                <w:rFonts w:cs="Arial"/>
                <w:sz w:val="18"/>
                <w:szCs w:val="18"/>
              </w:rPr>
              <w:t>,</w:t>
            </w:r>
            <w:r w:rsidR="00A73C3E" w:rsidRPr="00A73C3E">
              <w:rPr>
                <w:rFonts w:cs="Arial"/>
                <w:sz w:val="18"/>
                <w:szCs w:val="18"/>
              </w:rPr>
              <w:t>55</w:t>
            </w:r>
            <w:r w:rsidRPr="00A73C3E">
              <w:rPr>
                <w:rFonts w:cs="Arial"/>
                <w:sz w:val="18"/>
                <w:szCs w:val="18"/>
              </w:rPr>
              <w:t xml:space="preserve">% </w:t>
            </w:r>
          </w:p>
          <w:p w14:paraId="18ED29B5" w14:textId="7A6D7043" w:rsidR="00C611EE" w:rsidRPr="00A73C3E" w:rsidRDefault="00C611EE" w:rsidP="0005083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A73C3E">
              <w:rPr>
                <w:rFonts w:cs="Arial"/>
                <w:sz w:val="18"/>
                <w:szCs w:val="18"/>
              </w:rPr>
              <w:t xml:space="preserve">Con riferimento alla classe demografica di appartenenza dell’ente, la percentuale prevista nel decreto ministeriale attuativo in Tabella 1 è pari al </w:t>
            </w:r>
            <w:r w:rsidR="00267D38" w:rsidRPr="00A73C3E">
              <w:rPr>
                <w:rFonts w:cs="Arial"/>
                <w:sz w:val="18"/>
                <w:szCs w:val="18"/>
              </w:rPr>
              <w:t>2</w:t>
            </w:r>
            <w:r w:rsidR="00E824F6" w:rsidRPr="00A73C3E">
              <w:rPr>
                <w:rFonts w:cs="Arial"/>
                <w:sz w:val="18"/>
                <w:szCs w:val="18"/>
              </w:rPr>
              <w:t>8,60</w:t>
            </w:r>
            <w:r w:rsidRPr="00A73C3E">
              <w:rPr>
                <w:rFonts w:cs="Arial"/>
                <w:sz w:val="18"/>
                <w:szCs w:val="18"/>
              </w:rPr>
              <w:t xml:space="preserve">% e quella prevista in Tabella 3 è pari al </w:t>
            </w:r>
            <w:r w:rsidR="00267D38" w:rsidRPr="00A73C3E">
              <w:rPr>
                <w:rFonts w:cs="Arial"/>
                <w:sz w:val="18"/>
                <w:szCs w:val="18"/>
              </w:rPr>
              <w:t>32,6</w:t>
            </w:r>
            <w:r w:rsidR="00E824F6" w:rsidRPr="00A73C3E">
              <w:rPr>
                <w:rFonts w:cs="Arial"/>
                <w:sz w:val="18"/>
                <w:szCs w:val="18"/>
              </w:rPr>
              <w:t>0</w:t>
            </w:r>
            <w:r w:rsidRPr="00A73C3E">
              <w:rPr>
                <w:rFonts w:cs="Arial"/>
                <w:sz w:val="18"/>
                <w:szCs w:val="18"/>
              </w:rPr>
              <w:t xml:space="preserve">%; </w:t>
            </w:r>
          </w:p>
          <w:p w14:paraId="5D65BD53" w14:textId="4E3BAF8F" w:rsidR="00C611EE" w:rsidRPr="00A73C3E" w:rsidRDefault="00C611EE" w:rsidP="0005083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A73C3E">
              <w:rPr>
                <w:rFonts w:cs="Arial"/>
                <w:sz w:val="18"/>
                <w:szCs w:val="18"/>
              </w:rPr>
              <w:t xml:space="preserve">Il comune si colloca pertanto entro la soglia più bassa, disponendo di un margine per capacità </w:t>
            </w:r>
            <w:r w:rsidR="00332029" w:rsidRPr="00A73C3E">
              <w:rPr>
                <w:rFonts w:cs="Arial"/>
                <w:sz w:val="18"/>
                <w:szCs w:val="18"/>
              </w:rPr>
              <w:t>assunzionali</w:t>
            </w:r>
            <w:r w:rsidRPr="00A73C3E">
              <w:rPr>
                <w:rFonts w:cs="Arial"/>
                <w:sz w:val="18"/>
                <w:szCs w:val="18"/>
              </w:rPr>
              <w:t xml:space="preserve"> aggiuntiva teorica rispetto a quella ordinaria, ex art. 4, comma 2, del d.m. 17 marzo 2020, da utilizzare per la programmazione dei fabbisogni del triennio 202</w:t>
            </w:r>
            <w:r w:rsidR="00875A83" w:rsidRPr="00A73C3E">
              <w:rPr>
                <w:rFonts w:cs="Arial"/>
                <w:sz w:val="18"/>
                <w:szCs w:val="18"/>
              </w:rPr>
              <w:t>4</w:t>
            </w:r>
            <w:r w:rsidRPr="00A73C3E">
              <w:rPr>
                <w:rFonts w:cs="Arial"/>
                <w:sz w:val="18"/>
                <w:szCs w:val="18"/>
              </w:rPr>
              <w:t>/202</w:t>
            </w:r>
            <w:r w:rsidR="00875A83" w:rsidRPr="00A73C3E">
              <w:rPr>
                <w:rFonts w:cs="Arial"/>
                <w:sz w:val="18"/>
                <w:szCs w:val="18"/>
              </w:rPr>
              <w:t>6</w:t>
            </w:r>
            <w:r w:rsidRPr="00A73C3E">
              <w:rPr>
                <w:rFonts w:cs="Arial"/>
                <w:sz w:val="18"/>
                <w:szCs w:val="18"/>
              </w:rPr>
              <w:t>, con riferimento all’annualità 202</w:t>
            </w:r>
            <w:r w:rsidR="00875A83" w:rsidRPr="00A73C3E">
              <w:rPr>
                <w:rFonts w:cs="Arial"/>
                <w:sz w:val="18"/>
                <w:szCs w:val="18"/>
              </w:rPr>
              <w:t>4</w:t>
            </w:r>
            <w:r w:rsidRPr="00A73C3E">
              <w:rPr>
                <w:rFonts w:cs="Arial"/>
                <w:sz w:val="18"/>
                <w:szCs w:val="18"/>
              </w:rPr>
              <w:t xml:space="preserve">, di Euro </w:t>
            </w:r>
            <w:r w:rsidR="00A73C3E">
              <w:rPr>
                <w:rFonts w:cs="Arial"/>
                <w:sz w:val="18"/>
                <w:szCs w:val="18"/>
              </w:rPr>
              <w:t>231</w:t>
            </w:r>
            <w:r w:rsidR="00A73C3E" w:rsidRPr="00A73C3E">
              <w:rPr>
                <w:rFonts w:cs="Arial"/>
                <w:sz w:val="18"/>
                <w:szCs w:val="18"/>
              </w:rPr>
              <w:t>.</w:t>
            </w:r>
            <w:r w:rsidR="00A73C3E">
              <w:rPr>
                <w:rFonts w:cs="Arial"/>
                <w:sz w:val="18"/>
                <w:szCs w:val="18"/>
              </w:rPr>
              <w:t>938</w:t>
            </w:r>
            <w:r w:rsidRPr="00A73C3E">
              <w:rPr>
                <w:rFonts w:cs="Arial"/>
                <w:sz w:val="18"/>
                <w:szCs w:val="18"/>
              </w:rPr>
              <w:t>,</w:t>
            </w:r>
            <w:r w:rsidR="00A73C3E">
              <w:rPr>
                <w:rFonts w:cs="Arial"/>
                <w:sz w:val="18"/>
                <w:szCs w:val="18"/>
              </w:rPr>
              <w:t>09</w:t>
            </w:r>
            <w:r w:rsidRPr="00A73C3E">
              <w:rPr>
                <w:rFonts w:cs="Arial"/>
                <w:sz w:val="18"/>
                <w:szCs w:val="18"/>
              </w:rPr>
              <w:t xml:space="preserve"> con individuazione di una “soglia” teorica di spesa, ai sensi della </w:t>
            </w:r>
            <w:r w:rsidRPr="00A73C3E">
              <w:rPr>
                <w:rFonts w:cs="Arial"/>
                <w:i/>
                <w:iCs/>
                <w:sz w:val="18"/>
                <w:szCs w:val="18"/>
              </w:rPr>
              <w:t>Tabella 1</w:t>
            </w:r>
            <w:r w:rsidRPr="00A73C3E">
              <w:rPr>
                <w:rFonts w:cs="Arial"/>
                <w:sz w:val="18"/>
                <w:szCs w:val="18"/>
              </w:rPr>
              <w:t xml:space="preserve"> del decreto, di Euro </w:t>
            </w:r>
            <w:r w:rsidR="00A73C3E" w:rsidRPr="00A73C3E">
              <w:rPr>
                <w:rFonts w:cs="Arial"/>
                <w:sz w:val="18"/>
                <w:szCs w:val="18"/>
              </w:rPr>
              <w:t>550</w:t>
            </w:r>
            <w:r w:rsidR="000D38E5" w:rsidRPr="00A73C3E">
              <w:rPr>
                <w:rFonts w:cs="Arial"/>
                <w:sz w:val="18"/>
                <w:szCs w:val="18"/>
              </w:rPr>
              <w:t>.</w:t>
            </w:r>
            <w:r w:rsidR="00A73C3E" w:rsidRPr="00A73C3E">
              <w:rPr>
                <w:rFonts w:cs="Arial"/>
                <w:sz w:val="18"/>
                <w:szCs w:val="18"/>
              </w:rPr>
              <w:t>638</w:t>
            </w:r>
            <w:r w:rsidR="000D38E5" w:rsidRPr="00A73C3E">
              <w:rPr>
                <w:rFonts w:cs="Arial"/>
                <w:sz w:val="18"/>
                <w:szCs w:val="18"/>
              </w:rPr>
              <w:t>,</w:t>
            </w:r>
            <w:r w:rsidR="00A73C3E" w:rsidRPr="00A73C3E">
              <w:rPr>
                <w:rFonts w:cs="Arial"/>
                <w:sz w:val="18"/>
                <w:szCs w:val="18"/>
              </w:rPr>
              <w:t>47</w:t>
            </w:r>
            <w:r w:rsidRPr="00A73C3E">
              <w:rPr>
                <w:rFonts w:cs="Arial"/>
                <w:sz w:val="18"/>
                <w:szCs w:val="18"/>
              </w:rPr>
              <w:t xml:space="preserve">; </w:t>
            </w:r>
          </w:p>
          <w:p w14:paraId="296EE2C4" w14:textId="2D73E47E" w:rsidR="00C611EE" w:rsidRPr="00535933" w:rsidRDefault="000D38E5" w:rsidP="0005083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535933">
              <w:rPr>
                <w:rFonts w:cs="Arial"/>
                <w:sz w:val="18"/>
                <w:szCs w:val="18"/>
              </w:rPr>
              <w:t>I</w:t>
            </w:r>
            <w:r w:rsidR="00C611EE" w:rsidRPr="00535933">
              <w:rPr>
                <w:rFonts w:cs="Arial"/>
                <w:sz w:val="18"/>
                <w:szCs w:val="18"/>
              </w:rPr>
              <w:t xml:space="preserve">l Comune non dispone di resti assunzionali dei 5 anni antecedenti al 2020, che alla luce dell'art. 5 comma 2 del d.m. 17 marzo 2020 e della Circolare interministeriale del 13 maggio 2020, potrebbero essere usati "in superamento" degli spazi individuati in applicazione della </w:t>
            </w:r>
            <w:r w:rsidR="00C611EE" w:rsidRPr="00535933">
              <w:rPr>
                <w:rFonts w:cs="Arial"/>
                <w:i/>
                <w:iCs/>
                <w:sz w:val="18"/>
                <w:szCs w:val="18"/>
              </w:rPr>
              <w:t>Tabella 2</w:t>
            </w:r>
            <w:r w:rsidR="00C611EE" w:rsidRPr="00535933">
              <w:rPr>
                <w:rFonts w:cs="Arial"/>
                <w:sz w:val="18"/>
                <w:szCs w:val="18"/>
              </w:rPr>
              <w:t xml:space="preserve"> summenzionata, tenendo conto della nota prot. 12454/2020 del MEF - Ragioneria Generale dello Stato, che prevede che tali resti siano meramente </w:t>
            </w:r>
            <w:r w:rsidR="00C611EE" w:rsidRPr="00535933">
              <w:rPr>
                <w:rFonts w:cs="Arial"/>
                <w:i/>
                <w:iCs/>
                <w:sz w:val="18"/>
                <w:szCs w:val="18"/>
              </w:rPr>
              <w:t>alternativi</w:t>
            </w:r>
            <w:r w:rsidR="00C611EE" w:rsidRPr="00535933">
              <w:rPr>
                <w:rFonts w:cs="Arial"/>
                <w:sz w:val="18"/>
                <w:szCs w:val="18"/>
              </w:rPr>
              <w:t>, ove più favorevoli, agli spazi individuati applicando la Tabella 2 del d.m.;</w:t>
            </w:r>
          </w:p>
          <w:p w14:paraId="1DFE3A8B" w14:textId="5AEFB2AF" w:rsidR="00C611EE" w:rsidRPr="00AC4EE2" w:rsidRDefault="00C611EE" w:rsidP="00050833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cs="Arial"/>
                <w:sz w:val="18"/>
                <w:szCs w:val="18"/>
              </w:rPr>
            </w:pPr>
            <w:r w:rsidRPr="00AC4EE2">
              <w:rPr>
                <w:rFonts w:cs="Arial"/>
                <w:sz w:val="18"/>
                <w:szCs w:val="18"/>
              </w:rPr>
              <w:t xml:space="preserve">Come evidenziato dal prospetto di calcolo allegato A) alla presente deliberazione, la capacità </w:t>
            </w:r>
            <w:r w:rsidR="00787715" w:rsidRPr="00AC4EE2">
              <w:rPr>
                <w:rFonts w:cs="Arial"/>
                <w:sz w:val="18"/>
                <w:szCs w:val="18"/>
              </w:rPr>
              <w:t>assunzionali</w:t>
            </w:r>
            <w:r w:rsidRPr="00AC4EE2">
              <w:rPr>
                <w:rFonts w:cs="Arial"/>
                <w:sz w:val="18"/>
                <w:szCs w:val="18"/>
              </w:rPr>
              <w:t xml:space="preserve"> aggiuntiva complessiva del comune per l’anno </w:t>
            </w:r>
            <w:r w:rsidR="004A1933" w:rsidRPr="00AC4EE2">
              <w:rPr>
                <w:rFonts w:cs="Arial"/>
                <w:sz w:val="18"/>
                <w:szCs w:val="18"/>
              </w:rPr>
              <w:t>202</w:t>
            </w:r>
            <w:r w:rsidR="00535933" w:rsidRPr="00AC4EE2">
              <w:rPr>
                <w:rFonts w:cs="Arial"/>
                <w:sz w:val="18"/>
                <w:szCs w:val="18"/>
              </w:rPr>
              <w:t>4</w:t>
            </w:r>
            <w:r w:rsidRPr="00AC4EE2">
              <w:rPr>
                <w:rFonts w:cs="Arial"/>
                <w:sz w:val="18"/>
                <w:szCs w:val="18"/>
              </w:rPr>
              <w:t xml:space="preserve">, ammonta pertanto conclusivamente a Euro </w:t>
            </w:r>
            <w:r w:rsidR="000D38E5" w:rsidRPr="00AC4EE2">
              <w:rPr>
                <w:rFonts w:cs="Arial"/>
                <w:sz w:val="18"/>
                <w:szCs w:val="18"/>
              </w:rPr>
              <w:t>1</w:t>
            </w:r>
            <w:r w:rsidR="00A73C3E" w:rsidRPr="00AC4EE2">
              <w:rPr>
                <w:rFonts w:cs="Arial"/>
                <w:sz w:val="18"/>
                <w:szCs w:val="18"/>
              </w:rPr>
              <w:t>51</w:t>
            </w:r>
            <w:r w:rsidR="000D38E5" w:rsidRPr="00AC4EE2">
              <w:rPr>
                <w:rFonts w:cs="Arial"/>
                <w:sz w:val="18"/>
                <w:szCs w:val="18"/>
              </w:rPr>
              <w:t>.</w:t>
            </w:r>
            <w:r w:rsidR="00A73C3E" w:rsidRPr="00AC4EE2">
              <w:rPr>
                <w:rFonts w:cs="Arial"/>
                <w:sz w:val="18"/>
                <w:szCs w:val="18"/>
              </w:rPr>
              <w:t>300</w:t>
            </w:r>
            <w:r w:rsidR="000D38E5" w:rsidRPr="00AC4EE2">
              <w:rPr>
                <w:rFonts w:cs="Arial"/>
                <w:sz w:val="18"/>
                <w:szCs w:val="18"/>
              </w:rPr>
              <w:t>,</w:t>
            </w:r>
            <w:r w:rsidR="00A73C3E" w:rsidRPr="00AC4EE2">
              <w:rPr>
                <w:rFonts w:cs="Arial"/>
                <w:sz w:val="18"/>
                <w:szCs w:val="18"/>
              </w:rPr>
              <w:t>55</w:t>
            </w:r>
            <w:r w:rsidRPr="00AC4EE2">
              <w:rPr>
                <w:rFonts w:cs="Arial"/>
                <w:sz w:val="18"/>
                <w:szCs w:val="18"/>
              </w:rPr>
              <w:t xml:space="preserve">, portando a individuare la </w:t>
            </w:r>
            <w:r w:rsidRPr="00AC4EE2">
              <w:rPr>
                <w:rFonts w:cs="Arial"/>
                <w:i/>
                <w:iCs/>
                <w:sz w:val="18"/>
                <w:szCs w:val="18"/>
              </w:rPr>
              <w:t xml:space="preserve">soglia </w:t>
            </w:r>
            <w:r w:rsidRPr="00AC4EE2">
              <w:rPr>
                <w:rFonts w:cs="Arial"/>
                <w:sz w:val="18"/>
                <w:szCs w:val="18"/>
              </w:rPr>
              <w:t>di riferimento per la spesa di personale per l’anno 20</w:t>
            </w:r>
            <w:r w:rsidR="00A573C7" w:rsidRPr="00AC4EE2">
              <w:rPr>
                <w:rFonts w:cs="Arial"/>
                <w:sz w:val="18"/>
                <w:szCs w:val="18"/>
              </w:rPr>
              <w:t>23</w:t>
            </w:r>
            <w:r w:rsidRPr="00AC4EE2">
              <w:rPr>
                <w:rFonts w:cs="Arial"/>
                <w:sz w:val="18"/>
                <w:szCs w:val="18"/>
              </w:rPr>
              <w:t xml:space="preserve">, secondo le percentuali della richiamata Tabella 2 di cui all’art. 5 del d.m. 17/03/2020, in un importo insuperabile di Euro </w:t>
            </w:r>
            <w:r w:rsidR="000D38E5" w:rsidRPr="00AC4EE2">
              <w:rPr>
                <w:rFonts w:cs="Arial"/>
                <w:sz w:val="18"/>
                <w:szCs w:val="18"/>
              </w:rPr>
              <w:t>4</w:t>
            </w:r>
            <w:r w:rsidR="00A73C3E" w:rsidRPr="00AC4EE2">
              <w:rPr>
                <w:rFonts w:cs="Arial"/>
                <w:sz w:val="18"/>
                <w:szCs w:val="18"/>
              </w:rPr>
              <w:t>70</w:t>
            </w:r>
            <w:r w:rsidR="000D38E5" w:rsidRPr="00AC4EE2">
              <w:rPr>
                <w:rFonts w:cs="Arial"/>
                <w:sz w:val="18"/>
                <w:szCs w:val="18"/>
              </w:rPr>
              <w:t>.</w:t>
            </w:r>
            <w:r w:rsidR="00A73C3E" w:rsidRPr="00AC4EE2">
              <w:rPr>
                <w:rFonts w:cs="Arial"/>
                <w:sz w:val="18"/>
                <w:szCs w:val="18"/>
              </w:rPr>
              <w:t>000</w:t>
            </w:r>
            <w:r w:rsidR="000D38E5" w:rsidRPr="00AC4EE2">
              <w:rPr>
                <w:rFonts w:cs="Arial"/>
                <w:sz w:val="18"/>
                <w:szCs w:val="18"/>
              </w:rPr>
              <w:t>,9</w:t>
            </w:r>
            <w:r w:rsidR="00A73C3E" w:rsidRPr="00AC4EE2">
              <w:rPr>
                <w:rFonts w:cs="Arial"/>
                <w:sz w:val="18"/>
                <w:szCs w:val="18"/>
              </w:rPr>
              <w:t>3</w:t>
            </w:r>
            <w:r w:rsidR="000D38E5" w:rsidRPr="00AC4EE2">
              <w:rPr>
                <w:rFonts w:cs="Arial"/>
                <w:sz w:val="18"/>
                <w:szCs w:val="18"/>
              </w:rPr>
              <w:t>.</w:t>
            </w:r>
            <w:r w:rsidRPr="00AC4EE2">
              <w:rPr>
                <w:rFonts w:cs="Arial"/>
                <w:sz w:val="18"/>
                <w:szCs w:val="18"/>
              </w:rPr>
              <w:t xml:space="preserve"> </w:t>
            </w:r>
          </w:p>
          <w:p w14:paraId="3D18A8F5" w14:textId="77777777" w:rsidR="00C611EE" w:rsidRPr="00C611EE" w:rsidRDefault="00C611EE" w:rsidP="00E834C0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</w:p>
          <w:p w14:paraId="76169D43" w14:textId="5AE4FEA9" w:rsidR="00C611EE" w:rsidRPr="00C611EE" w:rsidRDefault="00C611EE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 w:rsidRPr="00C611EE">
              <w:rPr>
                <w:rFonts w:cs="Arial"/>
                <w:sz w:val="18"/>
                <w:szCs w:val="18"/>
              </w:rPr>
              <w:t xml:space="preserve">Rilevato che, includendo </w:t>
            </w:r>
            <w:r w:rsidRPr="00C611EE">
              <w:rPr>
                <w:rFonts w:cs="Arial"/>
                <w:bCs/>
                <w:sz w:val="18"/>
                <w:szCs w:val="18"/>
              </w:rPr>
              <w:t xml:space="preserve">le azioni assunzionali introdotte dalla presente deliberazione, </w:t>
            </w:r>
            <w:r w:rsidR="00D77449" w:rsidRPr="00186844">
              <w:rPr>
                <w:rFonts w:cs="Arial"/>
                <w:bCs/>
                <w:sz w:val="18"/>
                <w:szCs w:val="18"/>
              </w:rPr>
              <w:t xml:space="preserve">dettagliate di seguito, </w:t>
            </w:r>
            <w:r w:rsidRPr="00C611EE">
              <w:rPr>
                <w:rFonts w:cs="Arial"/>
                <w:bCs/>
                <w:sz w:val="18"/>
                <w:szCs w:val="18"/>
              </w:rPr>
              <w:t xml:space="preserve">si verifica il rispetto del contenimento della spesa di personale previsionale dell’anno </w:t>
            </w:r>
            <w:r w:rsidR="00D77449" w:rsidRPr="00186844">
              <w:rPr>
                <w:rFonts w:cs="Arial"/>
                <w:bCs/>
                <w:sz w:val="18"/>
                <w:szCs w:val="18"/>
              </w:rPr>
              <w:t>202</w:t>
            </w:r>
            <w:r w:rsidR="00875A83">
              <w:rPr>
                <w:rFonts w:cs="Arial"/>
                <w:bCs/>
                <w:sz w:val="18"/>
                <w:szCs w:val="18"/>
              </w:rPr>
              <w:t>4</w:t>
            </w:r>
            <w:r w:rsidRPr="00C611EE">
              <w:rPr>
                <w:rFonts w:cs="Arial"/>
                <w:bCs/>
                <w:sz w:val="18"/>
                <w:szCs w:val="18"/>
              </w:rPr>
              <w:t xml:space="preserve"> entro la somma data dalla spesa registrata nell’ultimo rendiconto approvato e degli spazi assunzionali concessi dal d.m. 17 marzo 2020, come su ricostruiti, nei seguenti valori:</w:t>
            </w:r>
          </w:p>
          <w:p w14:paraId="5C9C0082" w14:textId="77777777" w:rsidR="00C611EE" w:rsidRPr="00C611EE" w:rsidRDefault="00C611EE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W w:w="8070" w:type="dxa"/>
              <w:tblInd w:w="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070"/>
            </w:tblGrid>
            <w:tr w:rsidR="001C0FFF" w14:paraId="717A18A4" w14:textId="77777777" w:rsidTr="00897C50">
              <w:trPr>
                <w:trHeight w:val="986"/>
              </w:trPr>
              <w:tc>
                <w:tcPr>
                  <w:tcW w:w="8070" w:type="dxa"/>
                </w:tcPr>
                <w:p w14:paraId="5CACEFD8" w14:textId="4966FFD4" w:rsidR="001C0FFF" w:rsidRDefault="001C0FFF" w:rsidP="001C0FFF">
                  <w:pPr>
                    <w:jc w:val="both"/>
                    <w:rPr>
                      <w:rFonts w:cs="Arial"/>
                      <w:bCs/>
                      <w:sz w:val="18"/>
                      <w:szCs w:val="18"/>
                    </w:rPr>
                  </w:pPr>
                  <w:r w:rsidRPr="001B51CB">
                    <w:rPr>
                      <w:rFonts w:cs="Arial"/>
                      <w:bCs/>
                      <w:sz w:val="18"/>
                      <w:szCs w:val="18"/>
                    </w:rPr>
                    <w:t xml:space="preserve">SPESA DI PERSONALE ANNO 2018 Euro </w:t>
                  </w:r>
                  <w:r w:rsidR="000D38E5">
                    <w:rPr>
                      <w:rFonts w:cs="Arial"/>
                      <w:bCs/>
                      <w:sz w:val="18"/>
                      <w:szCs w:val="18"/>
                    </w:rPr>
                    <w:t>432.287,28</w:t>
                  </w:r>
                  <w:r w:rsidRPr="001B51CB">
                    <w:rPr>
                      <w:rFonts w:cs="Arial"/>
                      <w:bCs/>
                      <w:sz w:val="18"/>
                      <w:szCs w:val="18"/>
                    </w:rPr>
                    <w:t xml:space="preserve"> + SPAZI ASSUNZIONALI TABELLA 2 D.M. Euro </w:t>
                  </w:r>
                  <w:r w:rsidR="00A73C3E">
                    <w:rPr>
                      <w:rFonts w:cs="Arial"/>
                      <w:bCs/>
                      <w:sz w:val="18"/>
                      <w:szCs w:val="18"/>
                    </w:rPr>
                    <w:t>151.300,55</w:t>
                  </w:r>
                  <w:r w:rsidRPr="001B51CB">
                    <w:rPr>
                      <w:rFonts w:cs="Arial"/>
                      <w:bCs/>
                      <w:sz w:val="18"/>
                      <w:szCs w:val="18"/>
                    </w:rPr>
                    <w:t xml:space="preserve">= LIMITE CAPACITA’ ASSUNZIONALE Euro </w:t>
                  </w:r>
                  <w:r w:rsidR="00A73C3E">
                    <w:rPr>
                      <w:rFonts w:cs="Arial"/>
                      <w:bCs/>
                      <w:sz w:val="18"/>
                      <w:szCs w:val="18"/>
                    </w:rPr>
                    <w:t>583.587,83</w:t>
                  </w:r>
                  <w:r w:rsidRPr="001B51CB">
                    <w:rPr>
                      <w:rFonts w:cs="Arial"/>
                      <w:bCs/>
                      <w:sz w:val="18"/>
                      <w:szCs w:val="18"/>
                    </w:rPr>
                    <w:t xml:space="preserve"> ≥ SPESA DI PERSONALE PREVISIONALE 202</w:t>
                  </w:r>
                  <w:r w:rsidR="00875A83">
                    <w:rPr>
                      <w:rFonts w:cs="Arial"/>
                      <w:bCs/>
                      <w:sz w:val="18"/>
                      <w:szCs w:val="18"/>
                    </w:rPr>
                    <w:t>4</w:t>
                  </w:r>
                  <w:r w:rsidRPr="001B51CB">
                    <w:rPr>
                      <w:rFonts w:cs="Arial"/>
                      <w:bCs/>
                      <w:sz w:val="18"/>
                      <w:szCs w:val="18"/>
                    </w:rPr>
                    <w:t xml:space="preserve"> Euro </w:t>
                  </w:r>
                  <w:r w:rsidR="00535933">
                    <w:rPr>
                      <w:rFonts w:cs="Arial"/>
                      <w:bCs/>
                      <w:sz w:val="18"/>
                      <w:szCs w:val="18"/>
                    </w:rPr>
                    <w:t>395.668,97</w:t>
                  </w:r>
                  <w:r w:rsidR="002C55B5">
                    <w:rPr>
                      <w:rFonts w:cs="Arial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46848919" w14:textId="77777777" w:rsidR="00412F30" w:rsidRDefault="00412F30" w:rsidP="00E834C0">
            <w:pPr>
              <w:pStyle w:val="Paragrafoelenco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57ABAA53" w14:textId="77777777" w:rsidR="006A4EB9" w:rsidRDefault="006A4EB9" w:rsidP="00E834C0">
            <w:pPr>
              <w:pStyle w:val="Paragrafoelenco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7C06BF21" w14:textId="77777777" w:rsidR="00AC4EE2" w:rsidRPr="00186844" w:rsidRDefault="00AC4EE2" w:rsidP="00E834C0">
            <w:pPr>
              <w:pStyle w:val="Paragrafoelenco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31BA134E" w14:textId="77777777" w:rsidR="006A4EB9" w:rsidRDefault="006A4EB9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2D498EAA" w14:textId="77777777" w:rsidR="006A4EB9" w:rsidRDefault="006A4EB9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54DBEBA1" w14:textId="4A8361BE" w:rsidR="00412F30" w:rsidRPr="00412F30" w:rsidRDefault="00D77449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 w:rsidRPr="00186844">
              <w:rPr>
                <w:rFonts w:cs="Arial"/>
                <w:bCs/>
                <w:sz w:val="18"/>
                <w:szCs w:val="18"/>
              </w:rPr>
              <w:lastRenderedPageBreak/>
              <w:t>Dato atto</w:t>
            </w:r>
            <w:r w:rsidR="00412F30" w:rsidRPr="00412F30">
              <w:rPr>
                <w:rFonts w:cs="Arial"/>
                <w:bCs/>
                <w:sz w:val="18"/>
                <w:szCs w:val="18"/>
              </w:rPr>
              <w:t xml:space="preserve"> che:</w:t>
            </w:r>
          </w:p>
          <w:p w14:paraId="13EB73C8" w14:textId="728AE22E" w:rsidR="00412F30" w:rsidRPr="00412F30" w:rsidRDefault="00412F30" w:rsidP="00E834C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412F30">
              <w:rPr>
                <w:rFonts w:cs="Arial"/>
                <w:bCs/>
                <w:sz w:val="18"/>
                <w:szCs w:val="18"/>
              </w:rPr>
              <w:t>la programmazione dei fabbisogni</w:t>
            </w:r>
            <w:r w:rsidR="00D77449" w:rsidRPr="00186844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412F30">
              <w:rPr>
                <w:rFonts w:cs="Arial"/>
                <w:bCs/>
                <w:sz w:val="18"/>
                <w:szCs w:val="18"/>
              </w:rPr>
              <w:t>risulta pertanto pienamente compatibile con la disponibilità concessa dal d.m. 17 marzo 2020;</w:t>
            </w:r>
          </w:p>
          <w:p w14:paraId="4AC56F89" w14:textId="456DB832" w:rsidR="00412F30" w:rsidRPr="00AA5DA1" w:rsidRDefault="00412F30" w:rsidP="00E834C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412F30">
              <w:rPr>
                <w:rFonts w:cs="Arial"/>
                <w:bCs/>
                <w:sz w:val="18"/>
                <w:szCs w:val="18"/>
              </w:rPr>
              <w:t>tale spesa risulta compatibile, alla luce dei dati previsionali disponibili, con il mantenimento del rispetto della “soglia”, secondo il principio della sostenibilità finanziaria, anche nel corso delle annualità successive</w:t>
            </w:r>
            <w:r w:rsidR="002C55B5">
              <w:rPr>
                <w:rFonts w:cs="Arial"/>
                <w:bCs/>
                <w:sz w:val="18"/>
                <w:szCs w:val="18"/>
              </w:rPr>
              <w:t>, oggetto della presente programmazione strategica</w:t>
            </w:r>
            <w:r w:rsidRPr="00412F30">
              <w:rPr>
                <w:rFonts w:cs="Arial"/>
                <w:bCs/>
                <w:sz w:val="18"/>
                <w:szCs w:val="18"/>
              </w:rPr>
              <w:t xml:space="preserve">; </w:t>
            </w:r>
          </w:p>
          <w:p w14:paraId="4233AB66" w14:textId="77777777" w:rsidR="00AA5DA1" w:rsidRPr="00412F30" w:rsidRDefault="00AA5DA1" w:rsidP="00AA5DA1">
            <w:pPr>
              <w:pStyle w:val="Paragrafoelenco"/>
              <w:ind w:left="1080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1354B73C" w14:textId="6D9A9E34" w:rsidR="00412F30" w:rsidRDefault="00412F30" w:rsidP="00E834C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  <w:r w:rsidRPr="00412F30">
              <w:rPr>
                <w:rFonts w:cs="Arial"/>
                <w:bCs/>
                <w:sz w:val="18"/>
                <w:szCs w:val="18"/>
              </w:rPr>
              <w:t>i maggiori spazi assunzionali, concessi in applicazione del d.m. 17 marzo 2020, sono utilizzati, conformemente alla norma</w:t>
            </w:r>
            <w:r w:rsidR="002C55B5">
              <w:rPr>
                <w:rFonts w:cs="Arial"/>
                <w:bCs/>
                <w:sz w:val="18"/>
                <w:szCs w:val="18"/>
              </w:rPr>
              <w:t xml:space="preserve"> dell’articolo 33, comma 2, su richiamato</w:t>
            </w:r>
            <w:r w:rsidRPr="00412F30">
              <w:rPr>
                <w:rFonts w:cs="Arial"/>
                <w:bCs/>
                <w:sz w:val="18"/>
                <w:szCs w:val="18"/>
              </w:rPr>
              <w:t>, per assunzioni esclusivamente a tempo indeterminato</w:t>
            </w:r>
            <w:r w:rsidRPr="00412F30">
              <w:rPr>
                <w:rFonts w:cs="Arial"/>
                <w:bCs/>
                <w:i/>
                <w:iCs/>
                <w:sz w:val="18"/>
                <w:szCs w:val="18"/>
              </w:rPr>
              <w:t>.</w:t>
            </w:r>
          </w:p>
          <w:p w14:paraId="56ABA491" w14:textId="77777777" w:rsidR="00CF1812" w:rsidRDefault="00CF1812" w:rsidP="00CF1812">
            <w:pPr>
              <w:ind w:left="720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0389799F" w14:textId="4E1132ED" w:rsidR="006B5E78" w:rsidRPr="006B5E78" w:rsidRDefault="006B5E78" w:rsidP="006B5E78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6B5E78">
              <w:rPr>
                <w:rFonts w:cs="Arial"/>
                <w:b/>
                <w:bCs/>
                <w:sz w:val="18"/>
                <w:szCs w:val="18"/>
              </w:rPr>
              <w:t>a.</w:t>
            </w:r>
            <w:r>
              <w:rPr>
                <w:rFonts w:cs="Arial"/>
                <w:b/>
                <w:bCs/>
                <w:sz w:val="18"/>
                <w:szCs w:val="18"/>
              </w:rPr>
              <w:t>2</w:t>
            </w:r>
            <w:r w:rsidRPr="006B5E78">
              <w:rPr>
                <w:rFonts w:cs="Arial"/>
                <w:b/>
                <w:bCs/>
                <w:sz w:val="18"/>
                <w:szCs w:val="18"/>
              </w:rPr>
              <w:t xml:space="preserve">) verifica </w:t>
            </w:r>
            <w:r>
              <w:rPr>
                <w:rFonts w:cs="Arial"/>
                <w:b/>
                <w:bCs/>
                <w:sz w:val="18"/>
                <w:szCs w:val="18"/>
              </w:rPr>
              <w:t>del rispetto del tetto alla spesa di personale</w:t>
            </w:r>
          </w:p>
          <w:p w14:paraId="5AD048E6" w14:textId="77777777" w:rsidR="006B5E78" w:rsidRPr="00C611EE" w:rsidRDefault="006B5E78" w:rsidP="00E834C0">
            <w:pPr>
              <w:pStyle w:val="Paragrafoelenco"/>
              <w:jc w:val="both"/>
              <w:rPr>
                <w:rFonts w:cs="Arial"/>
                <w:bCs/>
                <w:i/>
                <w:iCs/>
                <w:sz w:val="18"/>
                <w:szCs w:val="18"/>
              </w:rPr>
            </w:pPr>
          </w:p>
          <w:p w14:paraId="02F99F60" w14:textId="154AEDB1" w:rsidR="005E053D" w:rsidRPr="00186844" w:rsidRDefault="002C55B5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Verificato, inoltre, </w:t>
            </w:r>
            <w:r w:rsidR="005E053D" w:rsidRPr="00412F30">
              <w:rPr>
                <w:rFonts w:cs="Arial"/>
                <w:bCs/>
                <w:sz w:val="18"/>
                <w:szCs w:val="18"/>
              </w:rPr>
              <w:t>che</w:t>
            </w:r>
            <w:r w:rsidR="006D1A80" w:rsidRPr="0018684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822403" w:rsidRPr="00186844">
              <w:rPr>
                <w:rFonts w:cs="Arial"/>
                <w:bCs/>
                <w:sz w:val="18"/>
                <w:szCs w:val="18"/>
              </w:rPr>
              <w:t>la spesa di personale per l’anno 202</w:t>
            </w:r>
            <w:r w:rsidR="00875A83">
              <w:rPr>
                <w:rFonts w:cs="Arial"/>
                <w:bCs/>
                <w:sz w:val="18"/>
                <w:szCs w:val="18"/>
              </w:rPr>
              <w:t>4</w:t>
            </w:r>
            <w:r w:rsidR="00822403" w:rsidRPr="00186844">
              <w:rPr>
                <w:rFonts w:cs="Arial"/>
                <w:bCs/>
                <w:sz w:val="18"/>
                <w:szCs w:val="18"/>
              </w:rPr>
              <w:t>, derivante dalla presente programmazione dei fabbisogni di personale, è compatibile con il rispetto del tetto di spesa di personale in valore assoluto determinato ai sensi dell’art. 1, comma 557</w:t>
            </w:r>
            <w:r w:rsidR="00822403" w:rsidRPr="00186844">
              <w:rPr>
                <w:rFonts w:cs="Arial"/>
                <w:bCs/>
                <w:color w:val="FF0000"/>
                <w:sz w:val="18"/>
                <w:szCs w:val="18"/>
              </w:rPr>
              <w:t xml:space="preserve"> </w:t>
            </w:r>
            <w:r w:rsidR="00822403" w:rsidRPr="00186844">
              <w:rPr>
                <w:rFonts w:cs="Arial"/>
                <w:bCs/>
                <w:sz w:val="18"/>
                <w:szCs w:val="18"/>
              </w:rPr>
              <w:t>della legge 296/2006 come segue:</w:t>
            </w:r>
          </w:p>
          <w:p w14:paraId="4C3898FA" w14:textId="77777777" w:rsidR="00822403" w:rsidRDefault="00822403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W w:w="7544" w:type="dxa"/>
              <w:tblInd w:w="1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44"/>
            </w:tblGrid>
            <w:tr w:rsidR="00F12F46" w:rsidRPr="00186844" w14:paraId="1E199A2D" w14:textId="77777777" w:rsidTr="00690A2E">
              <w:tc>
                <w:tcPr>
                  <w:tcW w:w="7544" w:type="dxa"/>
                  <w:shd w:val="clear" w:color="auto" w:fill="auto"/>
                </w:tcPr>
                <w:p w14:paraId="74989F06" w14:textId="5397EEB5" w:rsidR="00F12F46" w:rsidRPr="00186844" w:rsidRDefault="00F12F46" w:rsidP="005D174F">
                  <w:pPr>
                    <w:keepNext/>
                    <w:spacing w:before="240" w:after="60"/>
                    <w:jc w:val="both"/>
                    <w:outlineLvl w:val="3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V</w:t>
                  </w:r>
                  <w:r w:rsidRPr="00A942BB">
                    <w:rPr>
                      <w:rFonts w:cs="Arial"/>
                      <w:bCs/>
                      <w:sz w:val="18"/>
                      <w:szCs w:val="18"/>
                    </w:rPr>
                    <w:t>alore medio di riferimento del triennio 2011/2013</w:t>
                  </w:r>
                  <w:r w:rsidRPr="0018684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186844">
                    <w:rPr>
                      <w:rFonts w:cs="Arial"/>
                      <w:sz w:val="18"/>
                      <w:szCs w:val="18"/>
                    </w:rPr>
                    <w:t xml:space="preserve">Euro </w:t>
                  </w:r>
                  <w:r w:rsidR="006A4EB9">
                    <w:rPr>
                      <w:rFonts w:cs="Arial"/>
                      <w:sz w:val="18"/>
                      <w:szCs w:val="18"/>
                    </w:rPr>
                    <w:t>448.483,78</w:t>
                  </w:r>
                </w:p>
              </w:tc>
            </w:tr>
            <w:tr w:rsidR="00F12F46" w:rsidRPr="00186844" w14:paraId="424FED04" w14:textId="77777777" w:rsidTr="00690A2E">
              <w:tc>
                <w:tcPr>
                  <w:tcW w:w="7544" w:type="dxa"/>
                  <w:shd w:val="clear" w:color="auto" w:fill="auto"/>
                </w:tcPr>
                <w:p w14:paraId="573C6087" w14:textId="5BA401D6" w:rsidR="00F12F46" w:rsidRPr="00186844" w:rsidRDefault="00F12F46" w:rsidP="005D174F">
                  <w:pPr>
                    <w:keepNext/>
                    <w:spacing w:before="240" w:after="60"/>
                    <w:jc w:val="both"/>
                    <w:outlineLvl w:val="3"/>
                    <w:rPr>
                      <w:rFonts w:cs="Arial"/>
                      <w:sz w:val="18"/>
                      <w:szCs w:val="18"/>
                    </w:rPr>
                  </w:pPr>
                  <w:r w:rsidRPr="00186844">
                    <w:rPr>
                      <w:rFonts w:cs="Arial"/>
                      <w:sz w:val="18"/>
                      <w:szCs w:val="18"/>
                    </w:rPr>
                    <w:t>spesa di personale, ai sensi del comma 557, per l’anno 202</w:t>
                  </w:r>
                  <w:r w:rsidR="00875A83">
                    <w:rPr>
                      <w:rFonts w:cs="Arial"/>
                      <w:sz w:val="18"/>
                      <w:szCs w:val="18"/>
                    </w:rPr>
                    <w:t>4</w:t>
                  </w:r>
                  <w:r w:rsidRPr="00535933">
                    <w:rPr>
                      <w:rFonts w:cs="Arial"/>
                      <w:sz w:val="18"/>
                      <w:szCs w:val="18"/>
                    </w:rPr>
                    <w:t xml:space="preserve">: Euro </w:t>
                  </w:r>
                  <w:r w:rsidR="006A4EB9" w:rsidRPr="00535933">
                    <w:rPr>
                      <w:rFonts w:cs="Arial"/>
                      <w:sz w:val="18"/>
                      <w:szCs w:val="18"/>
                    </w:rPr>
                    <w:t>3</w:t>
                  </w:r>
                  <w:r w:rsidR="00535933" w:rsidRPr="00535933">
                    <w:rPr>
                      <w:rFonts w:cs="Arial"/>
                      <w:sz w:val="18"/>
                      <w:szCs w:val="18"/>
                    </w:rPr>
                    <w:t>95</w:t>
                  </w:r>
                  <w:r w:rsidR="006A4EB9" w:rsidRPr="00535933">
                    <w:rPr>
                      <w:rFonts w:cs="Arial"/>
                      <w:sz w:val="18"/>
                      <w:szCs w:val="18"/>
                    </w:rPr>
                    <w:t>.</w:t>
                  </w:r>
                  <w:r w:rsidR="00535933" w:rsidRPr="00535933">
                    <w:rPr>
                      <w:rFonts w:cs="Arial"/>
                      <w:sz w:val="18"/>
                      <w:szCs w:val="18"/>
                    </w:rPr>
                    <w:t>668,97</w:t>
                  </w:r>
                </w:p>
              </w:tc>
            </w:tr>
          </w:tbl>
          <w:p w14:paraId="41D2543F" w14:textId="77777777" w:rsidR="00F12F46" w:rsidRPr="00F12F46" w:rsidRDefault="00F12F46" w:rsidP="00F12F46">
            <w:pPr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4920A37E" w14:textId="0E920613" w:rsidR="006B5E78" w:rsidRPr="006B5E78" w:rsidRDefault="006B5E78" w:rsidP="006B5E78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6B5E78">
              <w:rPr>
                <w:rFonts w:cs="Arial"/>
                <w:b/>
                <w:bCs/>
                <w:sz w:val="18"/>
                <w:szCs w:val="18"/>
              </w:rPr>
              <w:t>a.</w:t>
            </w:r>
            <w:r>
              <w:rPr>
                <w:rFonts w:cs="Arial"/>
                <w:b/>
                <w:bCs/>
                <w:sz w:val="18"/>
                <w:szCs w:val="18"/>
              </w:rPr>
              <w:t>3</w:t>
            </w:r>
            <w:r w:rsidRPr="006B5E78">
              <w:rPr>
                <w:rFonts w:cs="Arial"/>
                <w:b/>
                <w:bCs/>
                <w:sz w:val="18"/>
                <w:szCs w:val="18"/>
              </w:rPr>
              <w:t xml:space="preserve">) verifica </w:t>
            </w:r>
            <w:r>
              <w:rPr>
                <w:rFonts w:cs="Arial"/>
                <w:b/>
                <w:bCs/>
                <w:sz w:val="18"/>
                <w:szCs w:val="18"/>
              </w:rPr>
              <w:t>del rispetto del tetto alla spesa per lavoro flessibile</w:t>
            </w:r>
          </w:p>
          <w:p w14:paraId="77A84978" w14:textId="77777777" w:rsidR="006A7403" w:rsidRPr="00186844" w:rsidRDefault="006A7403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343DF035" w14:textId="391DCA01" w:rsidR="006A7403" w:rsidRDefault="006A7403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 w:rsidRPr="00186844">
              <w:rPr>
                <w:rFonts w:cs="Arial"/>
                <w:bCs/>
                <w:sz w:val="18"/>
                <w:szCs w:val="18"/>
              </w:rPr>
              <w:t>Dato atto</w:t>
            </w:r>
            <w:r w:rsidRPr="00412F3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186844">
              <w:rPr>
                <w:rFonts w:cs="Arial"/>
                <w:bCs/>
                <w:sz w:val="18"/>
                <w:szCs w:val="18"/>
              </w:rPr>
              <w:t xml:space="preserve">inoltre </w:t>
            </w:r>
            <w:r w:rsidRPr="00412F30">
              <w:rPr>
                <w:rFonts w:cs="Arial"/>
                <w:bCs/>
                <w:sz w:val="18"/>
                <w:szCs w:val="18"/>
              </w:rPr>
              <w:t>che</w:t>
            </w:r>
            <w:r w:rsidRPr="00186844">
              <w:rPr>
                <w:rFonts w:cs="Arial"/>
                <w:bCs/>
                <w:sz w:val="18"/>
                <w:szCs w:val="18"/>
              </w:rPr>
              <w:t xml:space="preserve"> la spesa di personale mediante forme di lavoro flessibile previste per l’anno 202</w:t>
            </w:r>
            <w:r w:rsidR="00875A83">
              <w:rPr>
                <w:rFonts w:cs="Arial"/>
                <w:bCs/>
                <w:sz w:val="18"/>
                <w:szCs w:val="18"/>
              </w:rPr>
              <w:t>4</w:t>
            </w:r>
            <w:r w:rsidRPr="00186844">
              <w:rPr>
                <w:rFonts w:cs="Arial"/>
                <w:bCs/>
                <w:sz w:val="18"/>
                <w:szCs w:val="18"/>
              </w:rPr>
              <w:t>, derivante dalla presente programmazione dei fabbisogni di personale, è compatibile con il rispetto del dell’art. 9, comma 28, del d.l. 78/2010, convertito in legge 122/2010, come segue:</w:t>
            </w:r>
          </w:p>
          <w:p w14:paraId="2C0010B2" w14:textId="77777777" w:rsidR="005D174F" w:rsidRDefault="005D174F" w:rsidP="00E834C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tbl>
            <w:tblPr>
              <w:tblW w:w="7544" w:type="dxa"/>
              <w:tblInd w:w="1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44"/>
            </w:tblGrid>
            <w:tr w:rsidR="005D174F" w:rsidRPr="00186844" w14:paraId="40BEAAFD" w14:textId="77777777" w:rsidTr="00690A2E">
              <w:tc>
                <w:tcPr>
                  <w:tcW w:w="7544" w:type="dxa"/>
                  <w:shd w:val="clear" w:color="auto" w:fill="auto"/>
                </w:tcPr>
                <w:p w14:paraId="596632FB" w14:textId="13E5C2B9" w:rsidR="005D174F" w:rsidRPr="00186844" w:rsidRDefault="005D174F" w:rsidP="005D174F">
                  <w:pPr>
                    <w:keepNext/>
                    <w:spacing w:before="240" w:after="60"/>
                    <w:jc w:val="both"/>
                    <w:outlineLvl w:val="3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Arial"/>
                      <w:bCs/>
                      <w:sz w:val="18"/>
                      <w:szCs w:val="18"/>
                    </w:rPr>
                    <w:t>V</w:t>
                  </w:r>
                  <w:r w:rsidRPr="00A942BB">
                    <w:rPr>
                      <w:rFonts w:cs="Arial"/>
                      <w:bCs/>
                      <w:sz w:val="18"/>
                      <w:szCs w:val="18"/>
                    </w:rPr>
                    <w:t xml:space="preserve">alore </w:t>
                  </w:r>
                  <w:r>
                    <w:rPr>
                      <w:rFonts w:cs="Arial"/>
                      <w:bCs/>
                      <w:sz w:val="18"/>
                      <w:szCs w:val="18"/>
                    </w:rPr>
                    <w:t>spesa per lavoro flessibile anno 2009</w:t>
                  </w:r>
                  <w:r w:rsidRPr="00186844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186844">
                    <w:rPr>
                      <w:rFonts w:cs="Arial"/>
                      <w:sz w:val="18"/>
                      <w:szCs w:val="18"/>
                    </w:rPr>
                    <w:t xml:space="preserve">Euro </w:t>
                  </w:r>
                  <w:r w:rsidR="00545A9A">
                    <w:rPr>
                      <w:rFonts w:cs="Arial"/>
                      <w:sz w:val="18"/>
                      <w:szCs w:val="18"/>
                    </w:rPr>
                    <w:t>90,624,39</w:t>
                  </w:r>
                </w:p>
              </w:tc>
            </w:tr>
            <w:tr w:rsidR="005D174F" w:rsidRPr="00186844" w14:paraId="74716C0A" w14:textId="77777777" w:rsidTr="00690A2E">
              <w:tc>
                <w:tcPr>
                  <w:tcW w:w="7544" w:type="dxa"/>
                  <w:shd w:val="clear" w:color="auto" w:fill="auto"/>
                </w:tcPr>
                <w:p w14:paraId="6DB283A6" w14:textId="3C9C6105" w:rsidR="005D174F" w:rsidRPr="00186844" w:rsidRDefault="005D174F" w:rsidP="005D174F">
                  <w:pPr>
                    <w:keepNext/>
                    <w:spacing w:before="240" w:after="60"/>
                    <w:jc w:val="both"/>
                    <w:outlineLvl w:val="3"/>
                    <w:rPr>
                      <w:rFonts w:cs="Arial"/>
                      <w:sz w:val="18"/>
                      <w:szCs w:val="18"/>
                    </w:rPr>
                  </w:pPr>
                  <w:r w:rsidRPr="00A02860">
                    <w:rPr>
                      <w:rFonts w:cs="Arial"/>
                      <w:sz w:val="18"/>
                      <w:szCs w:val="18"/>
                    </w:rPr>
                    <w:t>Spesa per lavoro flessibile per l’anno 202</w:t>
                  </w:r>
                  <w:r w:rsidR="00875A83">
                    <w:rPr>
                      <w:rFonts w:cs="Arial"/>
                      <w:sz w:val="18"/>
                      <w:szCs w:val="18"/>
                    </w:rPr>
                    <w:t>4</w:t>
                  </w:r>
                  <w:r w:rsidRPr="00A02860">
                    <w:rPr>
                      <w:rFonts w:cs="Arial"/>
                      <w:sz w:val="18"/>
                      <w:szCs w:val="18"/>
                    </w:rPr>
                    <w:t xml:space="preserve">: </w:t>
                  </w:r>
                  <w:r w:rsidRPr="008115BD">
                    <w:rPr>
                      <w:rFonts w:cs="Arial"/>
                      <w:sz w:val="18"/>
                      <w:szCs w:val="18"/>
                    </w:rPr>
                    <w:t>Euro</w:t>
                  </w:r>
                  <w:r w:rsidR="0032453D" w:rsidRPr="008115BD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="008115BD" w:rsidRPr="008115BD">
                    <w:rPr>
                      <w:rFonts w:cs="Arial"/>
                      <w:sz w:val="18"/>
                      <w:szCs w:val="18"/>
                    </w:rPr>
                    <w:t>33.580,81</w:t>
                  </w:r>
                </w:p>
              </w:tc>
            </w:tr>
          </w:tbl>
          <w:p w14:paraId="0AF964EC" w14:textId="77777777" w:rsidR="005D174F" w:rsidRDefault="005D174F" w:rsidP="00595DF0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1EB7D966" w14:textId="7E0B1A35" w:rsidR="00595DF0" w:rsidRPr="006B5E78" w:rsidRDefault="00595DF0" w:rsidP="00595DF0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6B5E78">
              <w:rPr>
                <w:rFonts w:cs="Arial"/>
                <w:b/>
                <w:bCs/>
                <w:sz w:val="18"/>
                <w:szCs w:val="18"/>
              </w:rPr>
              <w:t>a.</w:t>
            </w:r>
            <w:r>
              <w:rPr>
                <w:rFonts w:cs="Arial"/>
                <w:b/>
                <w:bCs/>
                <w:sz w:val="18"/>
                <w:szCs w:val="18"/>
              </w:rPr>
              <w:t>4</w:t>
            </w:r>
            <w:r w:rsidRPr="006B5E78">
              <w:rPr>
                <w:rFonts w:cs="Arial"/>
                <w:b/>
                <w:bCs/>
                <w:sz w:val="18"/>
                <w:szCs w:val="18"/>
              </w:rPr>
              <w:t>) verifica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dell’assenza di</w:t>
            </w:r>
            <w:r w:rsidRPr="006B5E78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eccedenze di personale</w:t>
            </w:r>
          </w:p>
          <w:p w14:paraId="37C77DDA" w14:textId="77777777" w:rsidR="00595DF0" w:rsidRPr="00186844" w:rsidRDefault="00595DF0" w:rsidP="00E834C0">
            <w:pPr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2EA2013D" w14:textId="42F78359" w:rsidR="004345BC" w:rsidRDefault="00D753CC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 w:rsidRPr="00186844">
              <w:rPr>
                <w:rFonts w:cs="Arial"/>
                <w:bCs/>
                <w:sz w:val="18"/>
                <w:szCs w:val="18"/>
              </w:rPr>
              <w:t>Dato atto</w:t>
            </w:r>
            <w:r w:rsidRPr="00412F30">
              <w:rPr>
                <w:rFonts w:cs="Arial"/>
                <w:bCs/>
                <w:sz w:val="18"/>
                <w:szCs w:val="18"/>
              </w:rPr>
              <w:t xml:space="preserve"> che</w:t>
            </w:r>
            <w:r w:rsidR="00595DF0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345BC" w:rsidRPr="004345BC">
              <w:rPr>
                <w:rFonts w:cs="Arial"/>
                <w:bCs/>
                <w:sz w:val="18"/>
                <w:szCs w:val="18"/>
              </w:rPr>
              <w:t>l’ente ha effettuato la ricognizione delle eventuali eccedenze di personale</w:t>
            </w:r>
            <w:r w:rsidR="00545A9A">
              <w:rPr>
                <w:rFonts w:cs="Arial"/>
                <w:bCs/>
                <w:sz w:val="18"/>
                <w:szCs w:val="18"/>
              </w:rPr>
              <w:t>.</w:t>
            </w:r>
          </w:p>
          <w:p w14:paraId="0D66763A" w14:textId="77777777" w:rsidR="00595DF0" w:rsidRDefault="00595DF0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74C62DB9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12AC6073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728543D6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710D0D40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63E0578B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6D6638EF" w14:textId="77777777" w:rsidR="00AC4EE2" w:rsidRDefault="00AC4EE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351C946C" w14:textId="77ACB3B5" w:rsidR="00595DF0" w:rsidRPr="006B5E78" w:rsidRDefault="00595DF0" w:rsidP="00595DF0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6B5E78">
              <w:rPr>
                <w:rFonts w:cs="Arial"/>
                <w:b/>
                <w:bCs/>
                <w:sz w:val="18"/>
                <w:szCs w:val="18"/>
              </w:rPr>
              <w:lastRenderedPageBreak/>
              <w:t>a.</w:t>
            </w:r>
            <w:r>
              <w:rPr>
                <w:rFonts w:cs="Arial"/>
                <w:b/>
                <w:bCs/>
                <w:sz w:val="18"/>
                <w:szCs w:val="18"/>
              </w:rPr>
              <w:t>5</w:t>
            </w:r>
            <w:r w:rsidRPr="006B5E78">
              <w:rPr>
                <w:rFonts w:cs="Arial"/>
                <w:b/>
                <w:bCs/>
                <w:sz w:val="18"/>
                <w:szCs w:val="18"/>
              </w:rPr>
              <w:t>) verifica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del rispetto delle altre norme </w:t>
            </w:r>
            <w:r w:rsidR="00644142">
              <w:rPr>
                <w:rFonts w:cs="Arial"/>
                <w:b/>
                <w:bCs/>
                <w:sz w:val="18"/>
                <w:szCs w:val="18"/>
              </w:rPr>
              <w:t xml:space="preserve">rilevanti ai fini della </w:t>
            </w:r>
            <w:r w:rsidR="00823308">
              <w:rPr>
                <w:rFonts w:cs="Arial"/>
                <w:b/>
                <w:bCs/>
                <w:sz w:val="18"/>
                <w:szCs w:val="18"/>
              </w:rPr>
              <w:t>possibilità</w:t>
            </w:r>
            <w:r w:rsidR="00644142">
              <w:rPr>
                <w:rFonts w:cs="Arial"/>
                <w:b/>
                <w:bCs/>
                <w:sz w:val="18"/>
                <w:szCs w:val="18"/>
              </w:rPr>
              <w:t xml:space="preserve"> di assumere</w:t>
            </w:r>
          </w:p>
          <w:p w14:paraId="55FBE7C0" w14:textId="77777777" w:rsidR="00595DF0" w:rsidRDefault="00595DF0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595B887E" w14:textId="49310D03" w:rsidR="00644142" w:rsidRPr="004345BC" w:rsidRDefault="00644142" w:rsidP="00595DF0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Atteso che: </w:t>
            </w:r>
          </w:p>
          <w:p w14:paraId="18163C95" w14:textId="65345AA3" w:rsidR="004345BC" w:rsidRPr="004345BC" w:rsidRDefault="0026683C" w:rsidP="00E834C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186844">
              <w:rPr>
                <w:rFonts w:cs="Arial"/>
                <w:bCs/>
                <w:sz w:val="18"/>
                <w:szCs w:val="18"/>
              </w:rPr>
              <w:t>ai sensi dell’art. 9, comma 1-quinquies, del d.l. 113/2016</w:t>
            </w:r>
            <w:r w:rsidR="00D84123" w:rsidRPr="00186844">
              <w:rPr>
                <w:rFonts w:cs="Arial"/>
                <w:bCs/>
                <w:sz w:val="18"/>
                <w:szCs w:val="18"/>
              </w:rPr>
              <w:t>,</w:t>
            </w:r>
            <w:r w:rsidRPr="00186844">
              <w:rPr>
                <w:rFonts w:cs="Arial"/>
                <w:bCs/>
                <w:sz w:val="18"/>
                <w:szCs w:val="18"/>
              </w:rPr>
              <w:t xml:space="preserve"> convertito in legge</w:t>
            </w:r>
            <w:r w:rsidR="00D84123" w:rsidRPr="00186844">
              <w:rPr>
                <w:rFonts w:cs="Arial"/>
                <w:bCs/>
                <w:sz w:val="18"/>
                <w:szCs w:val="18"/>
              </w:rPr>
              <w:t xml:space="preserve"> 160/2016,</w:t>
            </w:r>
            <w:r w:rsidRPr="0018684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345BC" w:rsidRPr="004345BC">
              <w:rPr>
                <w:rFonts w:cs="Arial"/>
                <w:bCs/>
                <w:sz w:val="18"/>
                <w:szCs w:val="18"/>
              </w:rPr>
              <w:t xml:space="preserve">l’ente ha rispettato i termini per l'approvazione di bilanci di previsione, rendiconti, bilancio consolidato ed ha inviato i relativi dati alla Banca Dati delle Amministrazioni Pubbliche entro trenta giorni dal termine previsto per l’approvazione; </w:t>
            </w:r>
          </w:p>
          <w:p w14:paraId="281ED52E" w14:textId="77777777" w:rsidR="004345BC" w:rsidRPr="004345BC" w:rsidRDefault="004345BC" w:rsidP="00E834C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4345BC">
              <w:rPr>
                <w:rFonts w:cs="Arial"/>
                <w:bCs/>
                <w:sz w:val="18"/>
                <w:szCs w:val="18"/>
              </w:rPr>
              <w:t xml:space="preserve">l’ente alla data odierna ottempera all’obbligo di certificazione dei crediti di cui all’art. 27, comma 9, lett. c), del D.L. 26/4/2014, n. 66 convertito nella legge 23/6/2014, n. 89 di integrazione dell’art. 9, comma 3-bis, del D.L. 29/11/2008, n. 185, convertito in L. 28/1/2009, n. 2; </w:t>
            </w:r>
          </w:p>
          <w:p w14:paraId="41E51044" w14:textId="69FE5A9C" w:rsidR="004345BC" w:rsidRPr="004345BC" w:rsidRDefault="004345BC" w:rsidP="00E834C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="Arial"/>
                <w:bCs/>
                <w:sz w:val="18"/>
                <w:szCs w:val="18"/>
              </w:rPr>
            </w:pPr>
            <w:r w:rsidRPr="004345BC">
              <w:rPr>
                <w:rFonts w:cs="Arial"/>
                <w:bCs/>
                <w:sz w:val="18"/>
                <w:szCs w:val="18"/>
              </w:rPr>
              <w:t>l’ente non si trova in condizioni strutturalmente deficitarie, ai sensi dell’art. 243 del d.lgs. 18/8/2000, n. 267, pertanto non è soggetto ai controlli centrali sulle dotazioni organiche e sulle assunzioni di personale</w:t>
            </w:r>
            <w:r w:rsidR="00644142">
              <w:rPr>
                <w:rFonts w:cs="Arial"/>
                <w:bCs/>
                <w:sz w:val="18"/>
                <w:szCs w:val="18"/>
              </w:rPr>
              <w:t>;</w:t>
            </w:r>
          </w:p>
          <w:p w14:paraId="0AE748F0" w14:textId="77777777" w:rsidR="00823308" w:rsidRDefault="00823308" w:rsidP="00644142">
            <w:pPr>
              <w:pStyle w:val="Paragrafoelenco"/>
              <w:jc w:val="both"/>
              <w:rPr>
                <w:rFonts w:cs="Arial"/>
                <w:bCs/>
                <w:sz w:val="18"/>
                <w:szCs w:val="18"/>
              </w:rPr>
            </w:pPr>
          </w:p>
          <w:p w14:paraId="76504E95" w14:textId="24640C14" w:rsidR="00AD109A" w:rsidRPr="00186844" w:rsidRDefault="00DC0728" w:rsidP="00644142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il Comune di </w:t>
            </w:r>
            <w:r w:rsidR="00F82882">
              <w:rPr>
                <w:rFonts w:cs="Arial"/>
                <w:bCs/>
                <w:sz w:val="18"/>
                <w:szCs w:val="18"/>
              </w:rPr>
              <w:t xml:space="preserve">Vetto </w:t>
            </w:r>
            <w:r w:rsidR="004345BC" w:rsidRPr="004345BC">
              <w:rPr>
                <w:rFonts w:cs="Arial"/>
                <w:bCs/>
                <w:sz w:val="18"/>
                <w:szCs w:val="18"/>
              </w:rPr>
              <w:t>non soggiace al divieto assoluto di procedere all’assunzione di personale</w:t>
            </w:r>
            <w:r w:rsidR="00D84123" w:rsidRPr="00186844">
              <w:rPr>
                <w:rFonts w:cs="Arial"/>
                <w:bCs/>
                <w:sz w:val="18"/>
                <w:szCs w:val="18"/>
              </w:rPr>
              <w:t>.</w:t>
            </w:r>
          </w:p>
          <w:p w14:paraId="15CB1379" w14:textId="77777777" w:rsidR="00AD109A" w:rsidRPr="00186844" w:rsidRDefault="00AD109A" w:rsidP="00E834C0">
            <w:pPr>
              <w:ind w:left="360"/>
              <w:jc w:val="both"/>
              <w:rPr>
                <w:rFonts w:cs="Arial"/>
                <w:sz w:val="18"/>
                <w:szCs w:val="18"/>
              </w:rPr>
            </w:pPr>
          </w:p>
          <w:p w14:paraId="7F3D360D" w14:textId="2D3EE002" w:rsidR="000030E2" w:rsidRPr="00644142" w:rsidRDefault="000030E2" w:rsidP="00E834C0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="Arial"/>
                <w:b/>
                <w:bCs/>
                <w:sz w:val="20"/>
              </w:rPr>
            </w:pPr>
            <w:r w:rsidRPr="00644142">
              <w:rPr>
                <w:rFonts w:cs="Arial"/>
                <w:b/>
                <w:bCs/>
                <w:sz w:val="20"/>
              </w:rPr>
              <w:t>stima del trend delle cessazioni:</w:t>
            </w:r>
          </w:p>
          <w:p w14:paraId="4F4EC26F" w14:textId="77777777" w:rsidR="00AD125B" w:rsidRPr="00186844" w:rsidRDefault="00AD125B" w:rsidP="00E834C0">
            <w:pPr>
              <w:pStyle w:val="Paragrafoelenco"/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7E470F28" w14:textId="5CE1A73C" w:rsidR="00AD125B" w:rsidRPr="00186844" w:rsidRDefault="001B7075" w:rsidP="00E834C0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>Considerato che, alla luce della normativa vigente e delle informazioni disponibili, si prevedono le seguenti cessazioni di personale nel triennio oggetto della presente programmazione:</w:t>
            </w:r>
          </w:p>
          <w:p w14:paraId="7D7236C0" w14:textId="77777777" w:rsidR="001B7075" w:rsidRPr="00186844" w:rsidRDefault="001B7075" w:rsidP="00E834C0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</w:p>
          <w:p w14:paraId="72AFBD4B" w14:textId="79DD6041" w:rsidR="001B7075" w:rsidRPr="001B7075" w:rsidRDefault="001B7075" w:rsidP="00E834C0">
            <w:pPr>
              <w:pStyle w:val="Paragrafoelenco"/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21AB6A79" w14:textId="16FAAF12" w:rsidR="001B7075" w:rsidRPr="001B7075" w:rsidRDefault="001B7075" w:rsidP="00B96E26">
            <w:pPr>
              <w:pStyle w:val="Paragrafoelenco"/>
              <w:rPr>
                <w:rFonts w:cs="Arial"/>
                <w:iCs/>
                <w:sz w:val="18"/>
                <w:szCs w:val="18"/>
              </w:rPr>
            </w:pPr>
            <w:r w:rsidRPr="00A02860">
              <w:rPr>
                <w:rFonts w:cs="Arial"/>
                <w:iCs/>
                <w:sz w:val="18"/>
                <w:szCs w:val="18"/>
              </w:rPr>
              <w:t>ANNO 202</w:t>
            </w:r>
            <w:r w:rsidR="00875A83">
              <w:rPr>
                <w:rFonts w:cs="Arial"/>
                <w:iCs/>
                <w:sz w:val="18"/>
                <w:szCs w:val="18"/>
              </w:rPr>
              <w:t>4</w:t>
            </w:r>
            <w:r w:rsidR="00B96E26" w:rsidRPr="00A02860">
              <w:rPr>
                <w:rFonts w:cs="Arial"/>
                <w:iCs/>
                <w:sz w:val="18"/>
                <w:szCs w:val="18"/>
              </w:rPr>
              <w:t xml:space="preserve">: </w:t>
            </w:r>
            <w:r w:rsidR="00C379D4" w:rsidRPr="00A02860">
              <w:rPr>
                <w:rFonts w:cs="Arial"/>
                <w:iCs/>
                <w:sz w:val="18"/>
                <w:szCs w:val="18"/>
              </w:rPr>
              <w:t xml:space="preserve">è </w:t>
            </w:r>
            <w:r w:rsidR="00875A83">
              <w:rPr>
                <w:rFonts w:cs="Arial"/>
                <w:iCs/>
                <w:sz w:val="18"/>
                <w:szCs w:val="18"/>
              </w:rPr>
              <w:t xml:space="preserve">avvenuta </w:t>
            </w:r>
            <w:r w:rsidR="00C379D4" w:rsidRPr="00A02860">
              <w:rPr>
                <w:rFonts w:cs="Arial"/>
                <w:iCs/>
                <w:sz w:val="18"/>
                <w:szCs w:val="18"/>
              </w:rPr>
              <w:t xml:space="preserve">la cessazione di un Istruttore Amministrativo – cat. Istruttori per </w:t>
            </w:r>
            <w:r w:rsidR="00875A83">
              <w:rPr>
                <w:rFonts w:cs="Arial"/>
                <w:iCs/>
                <w:sz w:val="18"/>
                <w:szCs w:val="18"/>
              </w:rPr>
              <w:t>pensionamento</w:t>
            </w:r>
            <w:r w:rsidRPr="001B7075">
              <w:rPr>
                <w:rFonts w:cs="Arial"/>
                <w:iCs/>
                <w:sz w:val="18"/>
                <w:szCs w:val="18"/>
              </w:rPr>
              <w:br/>
              <w:t>ANNO 202</w:t>
            </w:r>
            <w:r w:rsidR="00875A83">
              <w:rPr>
                <w:rFonts w:cs="Arial"/>
                <w:iCs/>
                <w:sz w:val="18"/>
                <w:szCs w:val="18"/>
              </w:rPr>
              <w:t>5</w:t>
            </w:r>
            <w:r w:rsidR="00B96E26">
              <w:rPr>
                <w:rFonts w:cs="Arial"/>
                <w:iCs/>
                <w:sz w:val="18"/>
                <w:szCs w:val="18"/>
              </w:rPr>
              <w:t xml:space="preserve">: </w:t>
            </w:r>
            <w:r w:rsidR="00875A83">
              <w:rPr>
                <w:rFonts w:cs="Arial"/>
                <w:iCs/>
                <w:sz w:val="18"/>
                <w:szCs w:val="18"/>
              </w:rPr>
              <w:t>n</w:t>
            </w:r>
            <w:r w:rsidR="00875A83" w:rsidRPr="001B7075">
              <w:rPr>
                <w:rFonts w:cs="Arial"/>
                <w:iCs/>
                <w:sz w:val="18"/>
                <w:szCs w:val="18"/>
              </w:rPr>
              <w:t>essuna</w:t>
            </w:r>
            <w:r w:rsidR="00875A83">
              <w:rPr>
                <w:rFonts w:cs="Arial"/>
                <w:iCs/>
                <w:sz w:val="18"/>
                <w:szCs w:val="18"/>
              </w:rPr>
              <w:t xml:space="preserve"> cessazione prevista</w:t>
            </w:r>
          </w:p>
          <w:p w14:paraId="48206E36" w14:textId="4697DC8D" w:rsidR="001B7075" w:rsidRPr="001B7075" w:rsidRDefault="001B7075" w:rsidP="00B96E26">
            <w:pPr>
              <w:pStyle w:val="Paragrafoelenco"/>
              <w:rPr>
                <w:rFonts w:cs="Arial"/>
                <w:iCs/>
                <w:sz w:val="18"/>
                <w:szCs w:val="18"/>
              </w:rPr>
            </w:pPr>
            <w:r w:rsidRPr="001B7075">
              <w:rPr>
                <w:rFonts w:cs="Arial"/>
                <w:iCs/>
                <w:sz w:val="18"/>
                <w:szCs w:val="18"/>
              </w:rPr>
              <w:t>ANNO 202</w:t>
            </w:r>
            <w:r w:rsidR="008C15F6">
              <w:rPr>
                <w:rFonts w:cs="Arial"/>
                <w:iCs/>
                <w:sz w:val="18"/>
                <w:szCs w:val="18"/>
              </w:rPr>
              <w:t>6</w:t>
            </w:r>
            <w:r w:rsidR="00B96E26">
              <w:rPr>
                <w:rFonts w:cs="Arial"/>
                <w:iCs/>
                <w:sz w:val="18"/>
                <w:szCs w:val="18"/>
              </w:rPr>
              <w:t xml:space="preserve">: </w:t>
            </w:r>
            <w:r w:rsidR="00727DB2">
              <w:rPr>
                <w:rFonts w:cs="Arial"/>
                <w:iCs/>
                <w:sz w:val="18"/>
                <w:szCs w:val="18"/>
              </w:rPr>
              <w:t>n</w:t>
            </w:r>
            <w:r w:rsidRPr="001B7075">
              <w:rPr>
                <w:rFonts w:cs="Arial"/>
                <w:iCs/>
                <w:sz w:val="18"/>
                <w:szCs w:val="18"/>
              </w:rPr>
              <w:t>essuna</w:t>
            </w:r>
            <w:r w:rsidR="00B96E26">
              <w:rPr>
                <w:rFonts w:cs="Arial"/>
                <w:iCs/>
                <w:sz w:val="18"/>
                <w:szCs w:val="18"/>
              </w:rPr>
              <w:t xml:space="preserve"> cessazione prevista</w:t>
            </w:r>
          </w:p>
          <w:p w14:paraId="49E87E7E" w14:textId="77777777" w:rsidR="008074C7" w:rsidRPr="00186844" w:rsidRDefault="008074C7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1C3B6282" w14:textId="599E110F" w:rsidR="000030E2" w:rsidRPr="00C379D4" w:rsidRDefault="00AD125B" w:rsidP="00E834C0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C379D4">
              <w:rPr>
                <w:rFonts w:cs="Arial"/>
                <w:b/>
                <w:bCs/>
                <w:sz w:val="20"/>
              </w:rPr>
              <w:t xml:space="preserve">stima dell’evoluzione dei </w:t>
            </w:r>
            <w:r w:rsidR="001B51CB" w:rsidRPr="00C379D4">
              <w:rPr>
                <w:rFonts w:cs="Arial"/>
                <w:b/>
                <w:bCs/>
                <w:sz w:val="20"/>
              </w:rPr>
              <w:t>fab</w:t>
            </w:r>
            <w:r w:rsidRPr="00C379D4">
              <w:rPr>
                <w:rFonts w:cs="Arial"/>
                <w:b/>
                <w:bCs/>
                <w:sz w:val="20"/>
              </w:rPr>
              <w:t>bisogni:</w:t>
            </w:r>
          </w:p>
          <w:p w14:paraId="2B5DE7DB" w14:textId="77777777" w:rsidR="00D04692" w:rsidRDefault="00D04692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4795CFE8" w14:textId="4AF4EC62" w:rsidR="00C379D4" w:rsidRDefault="00D04692" w:rsidP="00D04692">
            <w:pPr>
              <w:pStyle w:val="Paragrafoelenco"/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 xml:space="preserve">Considerato che, in relazione agli obiettivi strategici definiti nella Sezione 2.1 (Valore pubblico) del presente Piano integrato di attività e organizzazione, si evidenziano i seguenti </w:t>
            </w:r>
            <w:r w:rsidR="00262199">
              <w:rPr>
                <w:rFonts w:cs="Arial"/>
                <w:sz w:val="18"/>
                <w:szCs w:val="18"/>
              </w:rPr>
              <w:t>elementi di rilievo a fondamento d</w:t>
            </w:r>
            <w:r w:rsidRPr="00186844">
              <w:rPr>
                <w:rFonts w:cs="Arial"/>
                <w:sz w:val="18"/>
                <w:szCs w:val="18"/>
              </w:rPr>
              <w:t xml:space="preserve">elle necessità </w:t>
            </w:r>
            <w:proofErr w:type="spellStart"/>
            <w:r w:rsidR="00B46FE9" w:rsidRPr="00186844">
              <w:rPr>
                <w:rFonts w:cs="Arial"/>
                <w:sz w:val="18"/>
                <w:szCs w:val="18"/>
              </w:rPr>
              <w:t>dotazionali</w:t>
            </w:r>
            <w:proofErr w:type="spellEnd"/>
            <w:r w:rsidRPr="00186844">
              <w:rPr>
                <w:rFonts w:cs="Arial"/>
                <w:sz w:val="18"/>
                <w:szCs w:val="18"/>
              </w:rPr>
              <w:t xml:space="preserve"> dell’ente:</w:t>
            </w:r>
          </w:p>
          <w:p w14:paraId="32CDBECF" w14:textId="01320064" w:rsidR="00365164" w:rsidRDefault="00365164" w:rsidP="00F24FC7">
            <w:pPr>
              <w:jc w:val="both"/>
              <w:rPr>
                <w:rFonts w:cs="Arial"/>
                <w:iCs/>
                <w:sz w:val="18"/>
                <w:szCs w:val="18"/>
              </w:rPr>
            </w:pPr>
          </w:p>
          <w:p w14:paraId="7C637337" w14:textId="77777777" w:rsidR="0033749B" w:rsidRDefault="0033749B" w:rsidP="0033749B">
            <w:pPr>
              <w:pStyle w:val="Paragrafoelenco"/>
              <w:ind w:left="1440"/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6BD72850" w14:textId="229BD5EF" w:rsidR="007A1891" w:rsidRDefault="007A1891" w:rsidP="00E834C0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Nel 2024, si prevede l’</w:t>
            </w:r>
            <w:r w:rsidR="00F1069F">
              <w:rPr>
                <w:rFonts w:cs="Arial"/>
                <w:i/>
                <w:iCs/>
                <w:sz w:val="18"/>
                <w:szCs w:val="18"/>
              </w:rPr>
              <w:t>integrazione da 18 ore a 24</w:t>
            </w:r>
            <w:r w:rsidR="00200317">
              <w:rPr>
                <w:rFonts w:cs="Arial"/>
                <w:i/>
                <w:iCs/>
                <w:sz w:val="18"/>
                <w:szCs w:val="18"/>
              </w:rPr>
              <w:t xml:space="preserve"> ore</w:t>
            </w:r>
            <w:r w:rsidR="00F1069F">
              <w:rPr>
                <w:rFonts w:cs="Arial"/>
                <w:i/>
                <w:iCs/>
                <w:sz w:val="18"/>
                <w:szCs w:val="18"/>
              </w:rPr>
              <w:t xml:space="preserve"> per l’Assistente Sociale. </w:t>
            </w:r>
          </w:p>
          <w:p w14:paraId="68F5A21F" w14:textId="77777777" w:rsidR="008115BD" w:rsidRPr="008115BD" w:rsidRDefault="008115BD" w:rsidP="008115BD">
            <w:pPr>
              <w:pStyle w:val="Paragrafoelenco"/>
              <w:rPr>
                <w:rFonts w:cs="Arial"/>
                <w:i/>
                <w:iCs/>
                <w:sz w:val="18"/>
                <w:szCs w:val="18"/>
              </w:rPr>
            </w:pPr>
          </w:p>
          <w:p w14:paraId="5ABD22D5" w14:textId="1BD81DF6" w:rsidR="008115BD" w:rsidRDefault="008115BD" w:rsidP="008115B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 xml:space="preserve">Nel 2024 e fino al 2026 si prevede la riconferma per l’Istruttore Amministrativo Contabile cat. C1 assunto a tempo determinato a supporto dell’ufficio finanziario. </w:t>
            </w:r>
          </w:p>
          <w:p w14:paraId="28FB6336" w14:textId="77777777" w:rsidR="009736F4" w:rsidRPr="008115BD" w:rsidRDefault="009736F4" w:rsidP="008115BD">
            <w:pPr>
              <w:pStyle w:val="Paragrafoelenco"/>
              <w:ind w:left="1440"/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23F3B593" w14:textId="21D93FA5" w:rsidR="002C09D0" w:rsidRPr="003D6249" w:rsidRDefault="00D7395A" w:rsidP="00EC1E9B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3D6249">
              <w:rPr>
                <w:rFonts w:cs="Arial"/>
                <w:i/>
                <w:iCs/>
                <w:sz w:val="18"/>
                <w:szCs w:val="18"/>
              </w:rPr>
              <w:t>N</w:t>
            </w:r>
            <w:r w:rsidR="007C42E6" w:rsidRPr="003D6249">
              <w:rPr>
                <w:rFonts w:cs="Arial"/>
                <w:i/>
                <w:iCs/>
                <w:sz w:val="18"/>
                <w:szCs w:val="18"/>
              </w:rPr>
              <w:t>ell’anno 202</w:t>
            </w:r>
            <w:r w:rsidR="003661AD">
              <w:rPr>
                <w:rFonts w:cs="Arial"/>
                <w:i/>
                <w:iCs/>
                <w:sz w:val="18"/>
                <w:szCs w:val="18"/>
              </w:rPr>
              <w:t>4</w:t>
            </w:r>
            <w:r w:rsidR="007C42E6" w:rsidRPr="003D6249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="00F24FC7">
              <w:rPr>
                <w:rFonts w:cs="Arial"/>
                <w:i/>
                <w:iCs/>
                <w:sz w:val="18"/>
                <w:szCs w:val="18"/>
              </w:rPr>
              <w:t>è avvenuta</w:t>
            </w:r>
            <w:r w:rsidR="007C42E6" w:rsidRPr="003D6249">
              <w:rPr>
                <w:rFonts w:cs="Arial"/>
                <w:i/>
                <w:iCs/>
                <w:sz w:val="18"/>
                <w:szCs w:val="18"/>
              </w:rPr>
              <w:t xml:space="preserve"> la cessazione per quiescenza di n. 1 Istruttore</w:t>
            </w:r>
            <w:r w:rsidR="00C048FE" w:rsidRPr="003D6249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3661AD">
              <w:rPr>
                <w:rFonts w:cs="Arial"/>
                <w:i/>
                <w:iCs/>
                <w:sz w:val="18"/>
                <w:szCs w:val="18"/>
              </w:rPr>
              <w:t>amministrativo</w:t>
            </w:r>
            <w:r w:rsidR="007C42E6" w:rsidRPr="003D6249">
              <w:rPr>
                <w:rFonts w:cs="Arial"/>
                <w:i/>
                <w:iCs/>
                <w:sz w:val="18"/>
                <w:szCs w:val="18"/>
              </w:rPr>
              <w:t xml:space="preserve"> - cat. </w:t>
            </w:r>
            <w:r w:rsidR="003661AD">
              <w:rPr>
                <w:rFonts w:cs="Arial"/>
                <w:i/>
                <w:iCs/>
                <w:sz w:val="18"/>
                <w:szCs w:val="18"/>
              </w:rPr>
              <w:t>Istruttore</w:t>
            </w:r>
            <w:r w:rsidR="007C42E6" w:rsidRPr="003D6249">
              <w:rPr>
                <w:rFonts w:cs="Arial"/>
                <w:i/>
                <w:iCs/>
                <w:sz w:val="18"/>
                <w:szCs w:val="18"/>
              </w:rPr>
              <w:t xml:space="preserve"> – </w:t>
            </w:r>
            <w:r w:rsidR="007D72FD" w:rsidRPr="003D6249">
              <w:rPr>
                <w:rFonts w:cs="Arial"/>
                <w:i/>
                <w:iCs/>
                <w:sz w:val="18"/>
                <w:szCs w:val="18"/>
              </w:rPr>
              <w:t xml:space="preserve">presso </w:t>
            </w:r>
            <w:r w:rsidR="003661AD">
              <w:rPr>
                <w:rFonts w:cs="Arial"/>
                <w:i/>
                <w:iCs/>
                <w:sz w:val="18"/>
                <w:szCs w:val="18"/>
              </w:rPr>
              <w:t>il settore Uso e Assetto del Territorio</w:t>
            </w:r>
            <w:r w:rsidR="009736F4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7E62E093" w14:textId="77777777" w:rsidR="008C15F6" w:rsidRDefault="008115BD" w:rsidP="008C15F6">
            <w:pPr>
              <w:pStyle w:val="Paragrafoelenco"/>
              <w:ind w:left="144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È</w:t>
            </w:r>
            <w:r w:rsidR="00F24FC7">
              <w:rPr>
                <w:rFonts w:cs="Arial"/>
                <w:i/>
                <w:iCs/>
                <w:sz w:val="18"/>
                <w:szCs w:val="18"/>
              </w:rPr>
              <w:t xml:space="preserve"> già avvenuta la</w:t>
            </w:r>
            <w:r w:rsidR="007D72FD" w:rsidRPr="003D6249">
              <w:rPr>
                <w:rFonts w:cs="Arial"/>
                <w:i/>
                <w:iCs/>
                <w:sz w:val="18"/>
                <w:szCs w:val="18"/>
              </w:rPr>
              <w:t xml:space="preserve"> sostituzione con unità di</w:t>
            </w:r>
            <w:r w:rsidR="00A26CF0">
              <w:rPr>
                <w:rFonts w:cs="Arial"/>
                <w:i/>
                <w:iCs/>
                <w:sz w:val="18"/>
                <w:szCs w:val="18"/>
              </w:rPr>
              <w:t xml:space="preserve"> tipo Istruttore tecnico – cat. Istruttore</w:t>
            </w:r>
            <w:r w:rsidR="004101F5" w:rsidRPr="003D6249">
              <w:rPr>
                <w:rFonts w:cs="Arial"/>
                <w:i/>
                <w:iCs/>
                <w:sz w:val="18"/>
                <w:szCs w:val="18"/>
              </w:rPr>
              <w:t>, a supporto dell’ufficio interessato</w:t>
            </w:r>
            <w:r w:rsidR="003661AD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9736F4">
              <w:rPr>
                <w:rFonts w:cs="Arial"/>
                <w:i/>
                <w:iCs/>
                <w:sz w:val="18"/>
                <w:szCs w:val="18"/>
              </w:rPr>
              <w:t>già a partire dal 202</w:t>
            </w:r>
            <w:r w:rsidR="00F24FC7">
              <w:rPr>
                <w:rFonts w:cs="Arial"/>
                <w:i/>
                <w:iCs/>
                <w:sz w:val="18"/>
                <w:szCs w:val="18"/>
              </w:rPr>
              <w:t>4</w:t>
            </w:r>
            <w:r w:rsidR="009736F4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F24FC7">
              <w:rPr>
                <w:rFonts w:cs="Arial"/>
                <w:i/>
                <w:iCs/>
                <w:sz w:val="18"/>
                <w:szCs w:val="18"/>
              </w:rPr>
              <w:t>tramite concorso pubblico.</w:t>
            </w:r>
          </w:p>
          <w:p w14:paraId="007C6AD9" w14:textId="77777777" w:rsidR="00586C89" w:rsidRPr="00586C89" w:rsidRDefault="00586C89" w:rsidP="00586C89">
            <w:pPr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0148FB1D" w14:textId="48ED1890" w:rsidR="00D129B4" w:rsidRPr="008C15F6" w:rsidRDefault="00F24FC7" w:rsidP="008C15F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8C15F6">
              <w:rPr>
                <w:rFonts w:cs="Arial"/>
                <w:i/>
                <w:iCs/>
                <w:sz w:val="18"/>
                <w:szCs w:val="18"/>
              </w:rPr>
              <w:t xml:space="preserve"> Si prevede inoltre l’assunzione a tempo parziale di un Istruttore tecnico o amministrativo</w:t>
            </w:r>
          </w:p>
          <w:p w14:paraId="7BFD970C" w14:textId="77777777" w:rsidR="00F24FC7" w:rsidRDefault="00F24FC7" w:rsidP="00D129B4">
            <w:pPr>
              <w:pStyle w:val="Paragrafoelenco"/>
              <w:ind w:left="1440"/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1DDB1A83" w14:textId="77777777" w:rsidR="00F24FC7" w:rsidRDefault="00F24FC7" w:rsidP="00D129B4">
            <w:pPr>
              <w:pStyle w:val="Paragrafoelenco"/>
              <w:ind w:left="1440"/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186E5EE4" w14:textId="77777777" w:rsidR="007A1891" w:rsidRPr="007A1891" w:rsidRDefault="007A1891" w:rsidP="007A1891">
            <w:pPr>
              <w:pStyle w:val="Paragrafoelenco"/>
              <w:jc w:val="both"/>
              <w:rPr>
                <w:rFonts w:cs="Arial"/>
                <w:i/>
                <w:iCs/>
                <w:sz w:val="18"/>
                <w:szCs w:val="18"/>
              </w:rPr>
            </w:pPr>
          </w:p>
          <w:p w14:paraId="35F9A937" w14:textId="77777777" w:rsidR="00D129B4" w:rsidRDefault="00D129B4" w:rsidP="00D129B4">
            <w:pPr>
              <w:pStyle w:val="Paragrafoelenco"/>
              <w:ind w:left="1440"/>
              <w:jc w:val="both"/>
              <w:rPr>
                <w:rFonts w:cs="Arial"/>
                <w:sz w:val="18"/>
                <w:szCs w:val="18"/>
              </w:rPr>
            </w:pPr>
          </w:p>
          <w:p w14:paraId="23B758EA" w14:textId="63C5AC60" w:rsidR="00D129B4" w:rsidRPr="00644142" w:rsidRDefault="00B31229" w:rsidP="00D129B4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certificazioni</w:t>
            </w:r>
            <w:r w:rsidR="00D129B4">
              <w:rPr>
                <w:rFonts w:cs="Arial"/>
                <w:b/>
                <w:bCs/>
                <w:sz w:val="20"/>
              </w:rPr>
              <w:t xml:space="preserve"> del Revisore dei conti</w:t>
            </w:r>
            <w:r w:rsidR="00D129B4" w:rsidRPr="00644142">
              <w:rPr>
                <w:rFonts w:cs="Arial"/>
                <w:b/>
                <w:bCs/>
                <w:sz w:val="20"/>
              </w:rPr>
              <w:t>:</w:t>
            </w:r>
          </w:p>
          <w:p w14:paraId="5D551299" w14:textId="77777777" w:rsidR="00D129B4" w:rsidRPr="00D129B4" w:rsidRDefault="00D129B4" w:rsidP="00D129B4">
            <w:pPr>
              <w:pStyle w:val="Paragrafoelenco"/>
              <w:ind w:left="1440"/>
              <w:jc w:val="both"/>
              <w:rPr>
                <w:rFonts w:cs="Arial"/>
                <w:sz w:val="18"/>
                <w:szCs w:val="18"/>
              </w:rPr>
            </w:pPr>
          </w:p>
          <w:p w14:paraId="1B5C3218" w14:textId="2DD7BF98" w:rsidR="009832B8" w:rsidRPr="00200317" w:rsidRDefault="009832B8" w:rsidP="00200317">
            <w:pPr>
              <w:ind w:left="708"/>
              <w:jc w:val="both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Dato</w:t>
            </w:r>
            <w:r w:rsidRPr="009832B8">
              <w:rPr>
                <w:rFonts w:cs="Arial"/>
                <w:sz w:val="18"/>
                <w:szCs w:val="18"/>
              </w:rPr>
              <w:t xml:space="preserve"> atto che </w:t>
            </w:r>
            <w:r>
              <w:rPr>
                <w:rFonts w:cs="Arial"/>
                <w:sz w:val="18"/>
                <w:szCs w:val="18"/>
              </w:rPr>
              <w:t>la</w:t>
            </w:r>
            <w:r w:rsidR="000B3B81">
              <w:rPr>
                <w:rFonts w:cs="Arial"/>
                <w:sz w:val="18"/>
                <w:szCs w:val="18"/>
              </w:rPr>
              <w:t xml:space="preserve"> presente Sezione di programmazione dei fabbisogni di personale</w:t>
            </w:r>
            <w:r w:rsidRPr="009832B8">
              <w:rPr>
                <w:rFonts w:cs="Arial"/>
                <w:sz w:val="18"/>
                <w:szCs w:val="18"/>
              </w:rPr>
              <w:t xml:space="preserve"> è </w:t>
            </w:r>
            <w:r w:rsidR="009D56D1" w:rsidRPr="009832B8">
              <w:rPr>
                <w:rFonts w:cs="Arial"/>
                <w:sz w:val="18"/>
                <w:szCs w:val="18"/>
              </w:rPr>
              <w:t>stata</w:t>
            </w:r>
            <w:r w:rsidRPr="009832B8">
              <w:rPr>
                <w:rFonts w:cs="Arial"/>
                <w:sz w:val="18"/>
                <w:szCs w:val="18"/>
              </w:rPr>
              <w:t xml:space="preserve"> sottopost</w:t>
            </w:r>
            <w:r w:rsidR="000B3B81">
              <w:rPr>
                <w:rFonts w:cs="Arial"/>
                <w:sz w:val="18"/>
                <w:szCs w:val="18"/>
              </w:rPr>
              <w:t>a</w:t>
            </w:r>
            <w:r w:rsidRPr="009832B8">
              <w:rPr>
                <w:rFonts w:cs="Arial"/>
                <w:sz w:val="18"/>
                <w:szCs w:val="18"/>
              </w:rPr>
              <w:t xml:space="preserve"> in anticipo al Revisore dei </w:t>
            </w:r>
            <w:r w:rsidR="0080138F">
              <w:rPr>
                <w:rFonts w:cs="Arial"/>
                <w:sz w:val="18"/>
                <w:szCs w:val="18"/>
              </w:rPr>
              <w:t>c</w:t>
            </w:r>
            <w:r w:rsidRPr="009832B8">
              <w:rPr>
                <w:rFonts w:cs="Arial"/>
                <w:sz w:val="18"/>
                <w:szCs w:val="18"/>
              </w:rPr>
              <w:t>onti per l’accertamento della conformità al rispetto del principio di contenimento della spesa</w:t>
            </w:r>
            <w:r w:rsidR="00EB34D6">
              <w:rPr>
                <w:rFonts w:cs="Arial"/>
                <w:sz w:val="18"/>
                <w:szCs w:val="18"/>
              </w:rPr>
              <w:t xml:space="preserve"> di personale</w:t>
            </w:r>
            <w:r w:rsidRPr="009832B8">
              <w:rPr>
                <w:rFonts w:cs="Arial"/>
                <w:sz w:val="18"/>
                <w:szCs w:val="18"/>
              </w:rPr>
              <w:t xml:space="preserve"> imposto dalla normativa vigente, </w:t>
            </w:r>
            <w:r w:rsidR="000B3B81">
              <w:rPr>
                <w:rFonts w:cs="Arial"/>
                <w:sz w:val="18"/>
                <w:szCs w:val="18"/>
              </w:rPr>
              <w:t xml:space="preserve">nonché per l’asseverazione </w:t>
            </w:r>
            <w:r w:rsidR="008F506F">
              <w:rPr>
                <w:rFonts w:cs="Arial"/>
                <w:sz w:val="18"/>
                <w:szCs w:val="18"/>
              </w:rPr>
              <w:t xml:space="preserve">del rispetto pluriennale degli equilibri di </w:t>
            </w:r>
            <w:r w:rsidR="008F506F" w:rsidRPr="00A02860">
              <w:rPr>
                <w:rFonts w:cs="Arial"/>
                <w:sz w:val="18"/>
                <w:szCs w:val="18"/>
              </w:rPr>
              <w:t>bilancio</w:t>
            </w:r>
            <w:r w:rsidR="00EB34D6" w:rsidRPr="00A02860">
              <w:rPr>
                <w:rFonts w:cs="Arial"/>
                <w:sz w:val="18"/>
                <w:szCs w:val="18"/>
              </w:rPr>
              <w:t xml:space="preserve"> ex art. 33, comma 2, del d.l. 34/2019 convertito in legge </w:t>
            </w:r>
            <w:r w:rsidR="000E0D5C" w:rsidRPr="00A02860">
              <w:rPr>
                <w:rFonts w:cs="Arial"/>
                <w:sz w:val="18"/>
                <w:szCs w:val="18"/>
              </w:rPr>
              <w:t>58/2019</w:t>
            </w:r>
            <w:r w:rsidR="008F506F" w:rsidRPr="00A02860">
              <w:rPr>
                <w:rFonts w:cs="Arial"/>
                <w:sz w:val="18"/>
                <w:szCs w:val="18"/>
              </w:rPr>
              <w:t xml:space="preserve">, </w:t>
            </w:r>
            <w:r w:rsidRPr="00200317">
              <w:rPr>
                <w:rFonts w:cs="Arial"/>
                <w:sz w:val="18"/>
                <w:szCs w:val="18"/>
              </w:rPr>
              <w:t xml:space="preserve">ottenendone parere positivo con Verbale n. </w:t>
            </w:r>
            <w:r w:rsidR="00200317" w:rsidRPr="00200317">
              <w:rPr>
                <w:rFonts w:cs="Arial"/>
                <w:sz w:val="18"/>
                <w:szCs w:val="18"/>
              </w:rPr>
              <w:t>07</w:t>
            </w:r>
            <w:r w:rsidRPr="00200317">
              <w:rPr>
                <w:rFonts w:cs="Arial"/>
                <w:sz w:val="18"/>
                <w:szCs w:val="18"/>
              </w:rPr>
              <w:t xml:space="preserve"> del</w:t>
            </w:r>
            <w:r w:rsidR="0038441B" w:rsidRPr="00200317">
              <w:rPr>
                <w:rFonts w:cs="Arial"/>
                <w:sz w:val="18"/>
                <w:szCs w:val="18"/>
              </w:rPr>
              <w:t xml:space="preserve"> </w:t>
            </w:r>
            <w:r w:rsidR="00200317" w:rsidRPr="00200317">
              <w:rPr>
                <w:rFonts w:cs="Arial"/>
                <w:sz w:val="18"/>
                <w:szCs w:val="18"/>
              </w:rPr>
              <w:t>09</w:t>
            </w:r>
            <w:r w:rsidR="0038441B" w:rsidRPr="00200317">
              <w:rPr>
                <w:rFonts w:cs="Arial"/>
                <w:sz w:val="18"/>
                <w:szCs w:val="18"/>
              </w:rPr>
              <w:t>/05/202</w:t>
            </w:r>
            <w:r w:rsidR="00200317" w:rsidRPr="00200317">
              <w:rPr>
                <w:rFonts w:cs="Arial"/>
                <w:sz w:val="18"/>
                <w:szCs w:val="18"/>
              </w:rPr>
              <w:t>4</w:t>
            </w:r>
            <w:r w:rsidRPr="00200317">
              <w:rPr>
                <w:rFonts w:cs="Arial"/>
                <w:sz w:val="18"/>
                <w:szCs w:val="18"/>
              </w:rPr>
              <w:t>;</w:t>
            </w:r>
          </w:p>
          <w:p w14:paraId="11372C68" w14:textId="3AFA8E2C" w:rsidR="00AD109A" w:rsidRPr="00186844" w:rsidRDefault="007C42E6" w:rsidP="00E834C0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iCs/>
                <w:sz w:val="18"/>
                <w:szCs w:val="18"/>
              </w:rPr>
              <w:br/>
            </w:r>
          </w:p>
        </w:tc>
      </w:tr>
      <w:tr w:rsidR="000C09B7" w14:paraId="4645DA3C" w14:textId="77777777" w:rsidTr="00FC461C">
        <w:tc>
          <w:tcPr>
            <w:tcW w:w="1793" w:type="dxa"/>
            <w:vMerge/>
          </w:tcPr>
          <w:p w14:paraId="3D84A9AE" w14:textId="77777777" w:rsidR="000C09B7" w:rsidRDefault="000C09B7" w:rsidP="00E834C0">
            <w:pPr>
              <w:jc w:val="both"/>
            </w:pPr>
          </w:p>
        </w:tc>
        <w:tc>
          <w:tcPr>
            <w:tcW w:w="3480" w:type="dxa"/>
            <w:shd w:val="clear" w:color="auto" w:fill="FFF2CC" w:themeFill="accent4" w:themeFillTint="33"/>
          </w:tcPr>
          <w:p w14:paraId="7A39D874" w14:textId="6A820453" w:rsidR="00F25264" w:rsidRPr="00EE6A4E" w:rsidRDefault="00E834C0" w:rsidP="00E834C0">
            <w:pPr>
              <w:jc w:val="both"/>
              <w:rPr>
                <w:sz w:val="18"/>
                <w:szCs w:val="18"/>
              </w:rPr>
            </w:pPr>
            <w:r w:rsidRPr="00EE6A4E">
              <w:rPr>
                <w:sz w:val="18"/>
                <w:szCs w:val="18"/>
              </w:rPr>
              <w:t xml:space="preserve">3.3.3 </w:t>
            </w:r>
            <w:r w:rsidR="001F556E" w:rsidRPr="00EE6A4E">
              <w:rPr>
                <w:sz w:val="18"/>
                <w:szCs w:val="18"/>
              </w:rPr>
              <w:t>Obiettivi di trasformazione dell’allocazione delle risorse</w:t>
            </w:r>
            <w:r w:rsidR="00F25264" w:rsidRPr="00EE6A4E">
              <w:rPr>
                <w:sz w:val="18"/>
                <w:szCs w:val="18"/>
              </w:rPr>
              <w:t xml:space="preserve"> </w:t>
            </w:r>
            <w:r w:rsidR="00AA5DA1" w:rsidRPr="00EE6A4E">
              <w:rPr>
                <w:sz w:val="18"/>
                <w:szCs w:val="18"/>
              </w:rPr>
              <w:t>/ Strategia</w:t>
            </w:r>
            <w:r w:rsidR="00F25264" w:rsidRPr="00EE6A4E">
              <w:rPr>
                <w:sz w:val="18"/>
                <w:szCs w:val="18"/>
              </w:rPr>
              <w:t xml:space="preserve"> di copertura del fabbisogno</w:t>
            </w:r>
          </w:p>
          <w:p w14:paraId="256E4F34" w14:textId="415606EC" w:rsidR="00F9272C" w:rsidRPr="00EE6A4E" w:rsidRDefault="00F9272C" w:rsidP="00E834C0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073" w:type="dxa"/>
          </w:tcPr>
          <w:p w14:paraId="4941BCF3" w14:textId="23C7B744" w:rsidR="00F9272C" w:rsidRDefault="00F9272C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186844">
              <w:rPr>
                <w:rFonts w:cs="Arial"/>
                <w:b/>
                <w:bCs/>
                <w:sz w:val="18"/>
                <w:szCs w:val="18"/>
              </w:rPr>
              <w:t>a) modifica della distribuzione del personale fra servizi/settori/aree</w:t>
            </w:r>
            <w:r w:rsidR="005D22A7" w:rsidRPr="00186844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1AA315A7" w14:textId="5501CE59" w:rsidR="00F9272C" w:rsidRPr="00186844" w:rsidRDefault="00F9272C" w:rsidP="00E834C0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0FCF4B02" w14:textId="77777777" w:rsidR="00F9272C" w:rsidRPr="00186844" w:rsidRDefault="00F9272C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6724216A" w14:textId="68EC5C6E" w:rsidR="007C42E6" w:rsidRPr="00186844" w:rsidRDefault="00911EE5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b</w:t>
            </w:r>
            <w:r w:rsidR="007C42E6" w:rsidRPr="00186844">
              <w:rPr>
                <w:rFonts w:cs="Arial"/>
                <w:b/>
                <w:bCs/>
                <w:sz w:val="18"/>
                <w:szCs w:val="18"/>
              </w:rPr>
              <w:t>) assunzioni mediante procedura concorsuale pubblica / utilizzo di graduatorie concorsuali vigenti:</w:t>
            </w:r>
          </w:p>
          <w:p w14:paraId="47E760BC" w14:textId="7FB6271F" w:rsidR="006B04A6" w:rsidRPr="00186844" w:rsidRDefault="006B04A6" w:rsidP="006B04A6">
            <w:pPr>
              <w:jc w:val="both"/>
              <w:rPr>
                <w:rFonts w:cs="Arial"/>
                <w:i/>
                <w:iCs/>
                <w:color w:val="FF0000"/>
                <w:sz w:val="18"/>
                <w:szCs w:val="18"/>
              </w:rPr>
            </w:pPr>
          </w:p>
          <w:p w14:paraId="79605E92" w14:textId="77777777" w:rsidR="00504C2C" w:rsidRDefault="00504C2C" w:rsidP="00E834C0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01A61D61" w14:textId="5FDB9A05" w:rsidR="00504C2C" w:rsidRPr="00186844" w:rsidRDefault="00504C2C" w:rsidP="00504C2C">
            <w:pPr>
              <w:jc w:val="both"/>
              <w:rPr>
                <w:rFonts w:cs="Arial"/>
                <w:sz w:val="18"/>
                <w:szCs w:val="18"/>
              </w:rPr>
            </w:pPr>
            <w:r w:rsidRPr="00186844">
              <w:rPr>
                <w:rFonts w:cs="Arial"/>
                <w:sz w:val="18"/>
                <w:szCs w:val="18"/>
              </w:rPr>
              <w:t>Ritenuto di procedere alla copertura di n. 1 posto a tempo p</w:t>
            </w:r>
            <w:r>
              <w:rPr>
                <w:rFonts w:cs="Arial"/>
                <w:sz w:val="18"/>
                <w:szCs w:val="18"/>
              </w:rPr>
              <w:t>art-time</w:t>
            </w:r>
            <w:r w:rsidRPr="00186844">
              <w:rPr>
                <w:rFonts w:cs="Arial"/>
                <w:sz w:val="18"/>
                <w:szCs w:val="18"/>
              </w:rPr>
              <w:t xml:space="preserve"> e </w:t>
            </w:r>
            <w:r>
              <w:rPr>
                <w:rFonts w:cs="Arial"/>
                <w:sz w:val="18"/>
                <w:szCs w:val="18"/>
              </w:rPr>
              <w:t>determinat</w:t>
            </w:r>
            <w:r w:rsidRPr="00186844">
              <w:rPr>
                <w:rFonts w:cs="Arial"/>
                <w:sz w:val="18"/>
                <w:szCs w:val="18"/>
              </w:rPr>
              <w:t xml:space="preserve">o, di cat. </w:t>
            </w:r>
            <w:r>
              <w:rPr>
                <w:rFonts w:cs="Arial"/>
                <w:sz w:val="18"/>
                <w:szCs w:val="18"/>
              </w:rPr>
              <w:t>Istruttore</w:t>
            </w:r>
            <w:r w:rsidRPr="00186844">
              <w:rPr>
                <w:rFonts w:cs="Arial"/>
                <w:sz w:val="18"/>
                <w:szCs w:val="18"/>
              </w:rPr>
              <w:t>, con profilo di Istruttore tecnico, da assegnare al</w:t>
            </w:r>
            <w:r>
              <w:rPr>
                <w:rFonts w:cs="Arial"/>
                <w:sz w:val="18"/>
                <w:szCs w:val="18"/>
              </w:rPr>
              <w:t xml:space="preserve"> Settore Uso e Assetto del Territorio,</w:t>
            </w:r>
            <w:r w:rsidRPr="00186844">
              <w:rPr>
                <w:rFonts w:cs="Arial"/>
                <w:sz w:val="18"/>
                <w:szCs w:val="18"/>
              </w:rPr>
              <w:t xml:space="preserve"> attraverso l’attivazione, previo esperimento dell’obbligatoria mobilità ex art. 34-bis del d.lgs. 165/2001, di scorrimento di graduatoria concorsuale pubblica in corso di validità e, ove questa non sia disponibile, di procedura concorsuale pubblica.</w:t>
            </w:r>
          </w:p>
          <w:p w14:paraId="4D58EA5F" w14:textId="77777777" w:rsidR="007C42E6" w:rsidRPr="00186844" w:rsidRDefault="007C42E6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233530AC" w14:textId="1A68AF97" w:rsidR="00EC0509" w:rsidRPr="00186844" w:rsidRDefault="00EC0509" w:rsidP="00E834C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</w:t>
            </w:r>
            <w:r w:rsidR="007C42E6" w:rsidRPr="00186844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  <w:r w:rsidR="00BD1A0C" w:rsidRPr="00186844">
              <w:rPr>
                <w:rFonts w:cs="Arial"/>
                <w:b/>
                <w:bCs/>
                <w:sz w:val="18"/>
                <w:szCs w:val="18"/>
              </w:rPr>
              <w:t>assunzioni mediante mobilità volontaria</w:t>
            </w:r>
            <w:r w:rsidR="007C42E6" w:rsidRPr="00186844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2625E712" w14:textId="65264C9C" w:rsidR="007C42E6" w:rsidRPr="00186844" w:rsidRDefault="007C42E6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558BF592" w14:textId="14479D42" w:rsidR="00BB7BAB" w:rsidRPr="00186844" w:rsidRDefault="00D7185B" w:rsidP="009604A9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="006C7C23" w:rsidRPr="00186844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  <w:r w:rsidR="009604A9">
              <w:rPr>
                <w:rFonts w:cs="Arial"/>
                <w:b/>
                <w:bCs/>
                <w:sz w:val="18"/>
                <w:szCs w:val="18"/>
              </w:rPr>
              <w:t>progressioni verticali di carriera</w:t>
            </w:r>
            <w:r w:rsidR="006C7C23" w:rsidRPr="00186844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13FBA5D9" w14:textId="77777777" w:rsidR="00E726FF" w:rsidRPr="00186844" w:rsidRDefault="00E726FF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4E8BB9DE" w14:textId="4A98A0AB" w:rsidR="00C379D4" w:rsidRDefault="00D7185B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 w:rsidRPr="00A02860">
              <w:rPr>
                <w:rFonts w:cs="Arial"/>
                <w:b/>
                <w:bCs/>
                <w:sz w:val="18"/>
                <w:szCs w:val="18"/>
              </w:rPr>
              <w:t>e</w:t>
            </w:r>
            <w:r w:rsidR="007C42E6" w:rsidRPr="00A02860">
              <w:rPr>
                <w:rFonts w:cs="Arial"/>
                <w:b/>
                <w:bCs/>
                <w:sz w:val="18"/>
                <w:szCs w:val="18"/>
              </w:rPr>
              <w:t xml:space="preserve">) </w:t>
            </w:r>
            <w:r w:rsidR="00E726FF" w:rsidRPr="00A02860">
              <w:rPr>
                <w:rFonts w:cs="Arial"/>
                <w:b/>
                <w:bCs/>
                <w:sz w:val="18"/>
                <w:szCs w:val="18"/>
              </w:rPr>
              <w:t>assunzioni mediante forme di lavoro flessibile</w:t>
            </w:r>
            <w:r w:rsidR="007C42E6" w:rsidRPr="00A02860">
              <w:rPr>
                <w:rFonts w:cs="Arial"/>
                <w:b/>
                <w:bCs/>
                <w:sz w:val="18"/>
                <w:szCs w:val="18"/>
              </w:rPr>
              <w:t>:</w:t>
            </w:r>
            <w:r w:rsidR="00C379D4" w:rsidRPr="00A0286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  <w:p w14:paraId="03939F48" w14:textId="77777777" w:rsidR="00504C2C" w:rsidRPr="00504C2C" w:rsidRDefault="00504C2C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</w:p>
          <w:p w14:paraId="28B92CF5" w14:textId="12825654" w:rsidR="000C77E6" w:rsidRPr="00186844" w:rsidRDefault="00D7185B" w:rsidP="00E834C0">
            <w:pPr>
              <w:jc w:val="both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</w:t>
            </w:r>
            <w:r w:rsidR="000C77E6" w:rsidRPr="00186844">
              <w:rPr>
                <w:rFonts w:cs="Arial"/>
                <w:b/>
                <w:bCs/>
                <w:sz w:val="18"/>
                <w:szCs w:val="18"/>
              </w:rPr>
              <w:t>) assunzioni mediante stabilizzazione di personale:</w:t>
            </w:r>
          </w:p>
          <w:p w14:paraId="13E15350" w14:textId="6FD56C3C" w:rsidR="00425101" w:rsidRPr="00186844" w:rsidRDefault="00425101" w:rsidP="00504C2C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14:paraId="7368590B" w14:textId="0B9A75BE" w:rsidR="00BB1D80" w:rsidRDefault="00BB1D80" w:rsidP="00E834C0">
      <w:pPr>
        <w:jc w:val="both"/>
      </w:pPr>
    </w:p>
    <w:sectPr w:rsidR="00BB1D80" w:rsidSect="00BB1D8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254"/>
    <w:multiLevelType w:val="hybridMultilevel"/>
    <w:tmpl w:val="1D500744"/>
    <w:lvl w:ilvl="0" w:tplc="A162B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679C"/>
    <w:multiLevelType w:val="hybridMultilevel"/>
    <w:tmpl w:val="4212118E"/>
    <w:lvl w:ilvl="0" w:tplc="E30E424E">
      <w:start w:val="1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146174"/>
    <w:multiLevelType w:val="hybridMultilevel"/>
    <w:tmpl w:val="480A0A28"/>
    <w:lvl w:ilvl="0" w:tplc="E3B2B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C7213"/>
    <w:multiLevelType w:val="hybridMultilevel"/>
    <w:tmpl w:val="1848C768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4FE012C"/>
    <w:multiLevelType w:val="hybridMultilevel"/>
    <w:tmpl w:val="2146C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6BF"/>
    <w:multiLevelType w:val="hybridMultilevel"/>
    <w:tmpl w:val="93EA005E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7C1908"/>
    <w:multiLevelType w:val="hybridMultilevel"/>
    <w:tmpl w:val="D56AE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C1733"/>
    <w:multiLevelType w:val="hybridMultilevel"/>
    <w:tmpl w:val="7AE4F5CE"/>
    <w:lvl w:ilvl="0" w:tplc="BE5C5B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53BDB"/>
    <w:multiLevelType w:val="hybridMultilevel"/>
    <w:tmpl w:val="FC6093DE"/>
    <w:lvl w:ilvl="0" w:tplc="AB624452">
      <w:start w:val="1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B384F1C"/>
    <w:multiLevelType w:val="hybridMultilevel"/>
    <w:tmpl w:val="9CE69D92"/>
    <w:lvl w:ilvl="0" w:tplc="03402A1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92456"/>
    <w:multiLevelType w:val="hybridMultilevel"/>
    <w:tmpl w:val="511AA1CC"/>
    <w:lvl w:ilvl="0" w:tplc="34224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8A6296"/>
    <w:multiLevelType w:val="hybridMultilevel"/>
    <w:tmpl w:val="64708B70"/>
    <w:lvl w:ilvl="0" w:tplc="CFA0BFA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  <w:bCs/>
        <w:color w:val="auto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902963">
    <w:abstractNumId w:val="9"/>
  </w:num>
  <w:num w:numId="2" w16cid:durableId="406151618">
    <w:abstractNumId w:val="7"/>
  </w:num>
  <w:num w:numId="3" w16cid:durableId="16132494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33699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3088605">
    <w:abstractNumId w:val="11"/>
  </w:num>
  <w:num w:numId="6" w16cid:durableId="691608694">
    <w:abstractNumId w:val="11"/>
  </w:num>
  <w:num w:numId="7" w16cid:durableId="921917871">
    <w:abstractNumId w:val="0"/>
  </w:num>
  <w:num w:numId="8" w16cid:durableId="522061046">
    <w:abstractNumId w:val="1"/>
  </w:num>
  <w:num w:numId="9" w16cid:durableId="1310555209">
    <w:abstractNumId w:val="8"/>
  </w:num>
  <w:num w:numId="10" w16cid:durableId="1694186517">
    <w:abstractNumId w:val="6"/>
  </w:num>
  <w:num w:numId="11" w16cid:durableId="1907297651">
    <w:abstractNumId w:val="5"/>
  </w:num>
  <w:num w:numId="12" w16cid:durableId="1275138235">
    <w:abstractNumId w:val="3"/>
  </w:num>
  <w:num w:numId="13" w16cid:durableId="91557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D80"/>
    <w:rsid w:val="000030E2"/>
    <w:rsid w:val="00006D44"/>
    <w:rsid w:val="00022AAD"/>
    <w:rsid w:val="00033A04"/>
    <w:rsid w:val="00042DED"/>
    <w:rsid w:val="00050833"/>
    <w:rsid w:val="00082470"/>
    <w:rsid w:val="00085B9E"/>
    <w:rsid w:val="000A0205"/>
    <w:rsid w:val="000A4F18"/>
    <w:rsid w:val="000B2A6D"/>
    <w:rsid w:val="000B3B81"/>
    <w:rsid w:val="000C03C2"/>
    <w:rsid w:val="000C09B7"/>
    <w:rsid w:val="000C77E6"/>
    <w:rsid w:val="000D38E5"/>
    <w:rsid w:val="000E0D5C"/>
    <w:rsid w:val="000E67EC"/>
    <w:rsid w:val="000F2503"/>
    <w:rsid w:val="001256A1"/>
    <w:rsid w:val="00126078"/>
    <w:rsid w:val="00127148"/>
    <w:rsid w:val="00152C27"/>
    <w:rsid w:val="00152CB7"/>
    <w:rsid w:val="00162F89"/>
    <w:rsid w:val="0016503D"/>
    <w:rsid w:val="00171AA2"/>
    <w:rsid w:val="00176E37"/>
    <w:rsid w:val="00177BD3"/>
    <w:rsid w:val="00186844"/>
    <w:rsid w:val="00191740"/>
    <w:rsid w:val="001B51CB"/>
    <w:rsid w:val="001B5509"/>
    <w:rsid w:val="001B56B7"/>
    <w:rsid w:val="001B6018"/>
    <w:rsid w:val="001B7075"/>
    <w:rsid w:val="001C0FFF"/>
    <w:rsid w:val="001C5133"/>
    <w:rsid w:val="001D5DF4"/>
    <w:rsid w:val="001E02C4"/>
    <w:rsid w:val="001E5DD8"/>
    <w:rsid w:val="001F28F3"/>
    <w:rsid w:val="001F556E"/>
    <w:rsid w:val="00200317"/>
    <w:rsid w:val="00221DD2"/>
    <w:rsid w:val="00222F02"/>
    <w:rsid w:val="0023042A"/>
    <w:rsid w:val="00232914"/>
    <w:rsid w:val="00262199"/>
    <w:rsid w:val="00263605"/>
    <w:rsid w:val="0026513B"/>
    <w:rsid w:val="0026683C"/>
    <w:rsid w:val="00267D38"/>
    <w:rsid w:val="002847E8"/>
    <w:rsid w:val="002C09D0"/>
    <w:rsid w:val="002C4A81"/>
    <w:rsid w:val="002C55B5"/>
    <w:rsid w:val="002E6780"/>
    <w:rsid w:val="00305C51"/>
    <w:rsid w:val="0032453D"/>
    <w:rsid w:val="00332029"/>
    <w:rsid w:val="003333CD"/>
    <w:rsid w:val="0033749B"/>
    <w:rsid w:val="003443F7"/>
    <w:rsid w:val="00351ED8"/>
    <w:rsid w:val="00353EEB"/>
    <w:rsid w:val="00364DD8"/>
    <w:rsid w:val="00365164"/>
    <w:rsid w:val="003661AD"/>
    <w:rsid w:val="0038441B"/>
    <w:rsid w:val="003D6249"/>
    <w:rsid w:val="003E4BB2"/>
    <w:rsid w:val="003F5F71"/>
    <w:rsid w:val="003F6AA2"/>
    <w:rsid w:val="0040477F"/>
    <w:rsid w:val="004101F5"/>
    <w:rsid w:val="00412F30"/>
    <w:rsid w:val="00425101"/>
    <w:rsid w:val="004345BC"/>
    <w:rsid w:val="004653DC"/>
    <w:rsid w:val="00480C0C"/>
    <w:rsid w:val="00491914"/>
    <w:rsid w:val="004A1933"/>
    <w:rsid w:val="004B27F1"/>
    <w:rsid w:val="004D0882"/>
    <w:rsid w:val="004F1BE3"/>
    <w:rsid w:val="004F4416"/>
    <w:rsid w:val="004F58A6"/>
    <w:rsid w:val="004F6807"/>
    <w:rsid w:val="005004E3"/>
    <w:rsid w:val="00504C2C"/>
    <w:rsid w:val="00525FE4"/>
    <w:rsid w:val="00532066"/>
    <w:rsid w:val="00532907"/>
    <w:rsid w:val="00535933"/>
    <w:rsid w:val="00541BE9"/>
    <w:rsid w:val="00545A9A"/>
    <w:rsid w:val="005550C1"/>
    <w:rsid w:val="00582767"/>
    <w:rsid w:val="00586C89"/>
    <w:rsid w:val="00595DF0"/>
    <w:rsid w:val="005B19BC"/>
    <w:rsid w:val="005B1BA1"/>
    <w:rsid w:val="005C3E9D"/>
    <w:rsid w:val="005D174F"/>
    <w:rsid w:val="005D22A7"/>
    <w:rsid w:val="005D71AB"/>
    <w:rsid w:val="005E0082"/>
    <w:rsid w:val="005E04C4"/>
    <w:rsid w:val="005E053D"/>
    <w:rsid w:val="005F205A"/>
    <w:rsid w:val="00644142"/>
    <w:rsid w:val="0065522A"/>
    <w:rsid w:val="00656BA4"/>
    <w:rsid w:val="00656BA5"/>
    <w:rsid w:val="00657259"/>
    <w:rsid w:val="0066367F"/>
    <w:rsid w:val="0067497C"/>
    <w:rsid w:val="00676F00"/>
    <w:rsid w:val="0068620E"/>
    <w:rsid w:val="00690A2E"/>
    <w:rsid w:val="00694053"/>
    <w:rsid w:val="006A4EB9"/>
    <w:rsid w:val="006A7403"/>
    <w:rsid w:val="006B04A6"/>
    <w:rsid w:val="006B5E78"/>
    <w:rsid w:val="006C4E11"/>
    <w:rsid w:val="006C7C23"/>
    <w:rsid w:val="006D1A80"/>
    <w:rsid w:val="00721D3E"/>
    <w:rsid w:val="00727DB2"/>
    <w:rsid w:val="00740800"/>
    <w:rsid w:val="007408F7"/>
    <w:rsid w:val="007438CC"/>
    <w:rsid w:val="0076175D"/>
    <w:rsid w:val="00787715"/>
    <w:rsid w:val="007A1891"/>
    <w:rsid w:val="007A5D77"/>
    <w:rsid w:val="007B057A"/>
    <w:rsid w:val="007B5B0E"/>
    <w:rsid w:val="007C2E45"/>
    <w:rsid w:val="007C42E6"/>
    <w:rsid w:val="007D72FD"/>
    <w:rsid w:val="007E13CF"/>
    <w:rsid w:val="0080138F"/>
    <w:rsid w:val="00805EF7"/>
    <w:rsid w:val="008071B6"/>
    <w:rsid w:val="008074C7"/>
    <w:rsid w:val="008115BD"/>
    <w:rsid w:val="00822403"/>
    <w:rsid w:val="00823308"/>
    <w:rsid w:val="00875A83"/>
    <w:rsid w:val="00883C8A"/>
    <w:rsid w:val="00887BA4"/>
    <w:rsid w:val="00891CB6"/>
    <w:rsid w:val="0089317A"/>
    <w:rsid w:val="00897C50"/>
    <w:rsid w:val="008B4E94"/>
    <w:rsid w:val="008C15F6"/>
    <w:rsid w:val="008C26B4"/>
    <w:rsid w:val="008D51CA"/>
    <w:rsid w:val="008F506F"/>
    <w:rsid w:val="00906540"/>
    <w:rsid w:val="00911EE5"/>
    <w:rsid w:val="009216B2"/>
    <w:rsid w:val="0093405F"/>
    <w:rsid w:val="00952827"/>
    <w:rsid w:val="009546B2"/>
    <w:rsid w:val="009604A9"/>
    <w:rsid w:val="009650E5"/>
    <w:rsid w:val="009736F4"/>
    <w:rsid w:val="009832B8"/>
    <w:rsid w:val="00984527"/>
    <w:rsid w:val="00992A7B"/>
    <w:rsid w:val="009A296A"/>
    <w:rsid w:val="009B0745"/>
    <w:rsid w:val="009C0220"/>
    <w:rsid w:val="009D56D1"/>
    <w:rsid w:val="009E5335"/>
    <w:rsid w:val="00A02860"/>
    <w:rsid w:val="00A0685D"/>
    <w:rsid w:val="00A12BAE"/>
    <w:rsid w:val="00A26CF0"/>
    <w:rsid w:val="00A424D4"/>
    <w:rsid w:val="00A573C7"/>
    <w:rsid w:val="00A73C3E"/>
    <w:rsid w:val="00A942BB"/>
    <w:rsid w:val="00AA5DA1"/>
    <w:rsid w:val="00AB6E9B"/>
    <w:rsid w:val="00AC2E11"/>
    <w:rsid w:val="00AC4EE2"/>
    <w:rsid w:val="00AC7923"/>
    <w:rsid w:val="00AD109A"/>
    <w:rsid w:val="00AD125B"/>
    <w:rsid w:val="00AD3826"/>
    <w:rsid w:val="00AE74DD"/>
    <w:rsid w:val="00B0380D"/>
    <w:rsid w:val="00B144D2"/>
    <w:rsid w:val="00B17D7C"/>
    <w:rsid w:val="00B209F8"/>
    <w:rsid w:val="00B23AF5"/>
    <w:rsid w:val="00B31229"/>
    <w:rsid w:val="00B335DA"/>
    <w:rsid w:val="00B46FE9"/>
    <w:rsid w:val="00B571BF"/>
    <w:rsid w:val="00B779EE"/>
    <w:rsid w:val="00B933C1"/>
    <w:rsid w:val="00B96BFA"/>
    <w:rsid w:val="00B96E26"/>
    <w:rsid w:val="00BA323E"/>
    <w:rsid w:val="00BA7C67"/>
    <w:rsid w:val="00BB1D80"/>
    <w:rsid w:val="00BB7BAB"/>
    <w:rsid w:val="00BC0BEC"/>
    <w:rsid w:val="00BC1DE1"/>
    <w:rsid w:val="00BD1A0C"/>
    <w:rsid w:val="00BD3813"/>
    <w:rsid w:val="00BE5497"/>
    <w:rsid w:val="00BE60A9"/>
    <w:rsid w:val="00BF533C"/>
    <w:rsid w:val="00C04172"/>
    <w:rsid w:val="00C048FE"/>
    <w:rsid w:val="00C23576"/>
    <w:rsid w:val="00C379D4"/>
    <w:rsid w:val="00C611EE"/>
    <w:rsid w:val="00C62EA5"/>
    <w:rsid w:val="00C63320"/>
    <w:rsid w:val="00C6416E"/>
    <w:rsid w:val="00C851C9"/>
    <w:rsid w:val="00CA7B68"/>
    <w:rsid w:val="00CD7A7A"/>
    <w:rsid w:val="00CF1812"/>
    <w:rsid w:val="00CF2507"/>
    <w:rsid w:val="00D04692"/>
    <w:rsid w:val="00D056B3"/>
    <w:rsid w:val="00D10D3F"/>
    <w:rsid w:val="00D129B4"/>
    <w:rsid w:val="00D15152"/>
    <w:rsid w:val="00D22181"/>
    <w:rsid w:val="00D45BDF"/>
    <w:rsid w:val="00D513F5"/>
    <w:rsid w:val="00D569B4"/>
    <w:rsid w:val="00D6788E"/>
    <w:rsid w:val="00D678C7"/>
    <w:rsid w:val="00D7185B"/>
    <w:rsid w:val="00D7203D"/>
    <w:rsid w:val="00D7395A"/>
    <w:rsid w:val="00D74292"/>
    <w:rsid w:val="00D753CC"/>
    <w:rsid w:val="00D765FD"/>
    <w:rsid w:val="00D77449"/>
    <w:rsid w:val="00D84123"/>
    <w:rsid w:val="00D92479"/>
    <w:rsid w:val="00D95021"/>
    <w:rsid w:val="00D970FC"/>
    <w:rsid w:val="00D979A6"/>
    <w:rsid w:val="00DB4FAF"/>
    <w:rsid w:val="00DB76B9"/>
    <w:rsid w:val="00DC0728"/>
    <w:rsid w:val="00DD55E7"/>
    <w:rsid w:val="00DF060D"/>
    <w:rsid w:val="00E22A94"/>
    <w:rsid w:val="00E40B25"/>
    <w:rsid w:val="00E4611D"/>
    <w:rsid w:val="00E53870"/>
    <w:rsid w:val="00E6274C"/>
    <w:rsid w:val="00E71437"/>
    <w:rsid w:val="00E726FF"/>
    <w:rsid w:val="00E824F6"/>
    <w:rsid w:val="00E834C0"/>
    <w:rsid w:val="00EA4359"/>
    <w:rsid w:val="00EA4643"/>
    <w:rsid w:val="00EB34D6"/>
    <w:rsid w:val="00EC0509"/>
    <w:rsid w:val="00EC1E9B"/>
    <w:rsid w:val="00EC27D9"/>
    <w:rsid w:val="00ED26E2"/>
    <w:rsid w:val="00EE56AE"/>
    <w:rsid w:val="00EE6A4E"/>
    <w:rsid w:val="00EF1451"/>
    <w:rsid w:val="00EF3BB3"/>
    <w:rsid w:val="00EF5F74"/>
    <w:rsid w:val="00F1069F"/>
    <w:rsid w:val="00F12F46"/>
    <w:rsid w:val="00F24FC7"/>
    <w:rsid w:val="00F25264"/>
    <w:rsid w:val="00F51912"/>
    <w:rsid w:val="00F51FCC"/>
    <w:rsid w:val="00F7364C"/>
    <w:rsid w:val="00F73DC1"/>
    <w:rsid w:val="00F82882"/>
    <w:rsid w:val="00F87C6B"/>
    <w:rsid w:val="00F9272C"/>
    <w:rsid w:val="00FB2B81"/>
    <w:rsid w:val="00FB4CFC"/>
    <w:rsid w:val="00FC3813"/>
    <w:rsid w:val="00FC461C"/>
    <w:rsid w:val="00FC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E13DD"/>
  <w15:docId w15:val="{4861539B-B88E-496B-9A34-E52E3B27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6A1"/>
    <w:rPr>
      <w:rFonts w:ascii="Arial" w:hAnsi="Arial"/>
      <w:sz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256A1"/>
    <w:pPr>
      <w:keepNext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256A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1256A1"/>
    <w:pPr>
      <w:keepNext/>
      <w:jc w:val="both"/>
      <w:outlineLvl w:val="6"/>
    </w:pPr>
    <w:rPr>
      <w:b/>
      <w:sz w:val="32"/>
    </w:rPr>
  </w:style>
  <w:style w:type="paragraph" w:styleId="Titolo9">
    <w:name w:val="heading 9"/>
    <w:basedOn w:val="Normale"/>
    <w:next w:val="Normale"/>
    <w:link w:val="Titolo9Carattere"/>
    <w:qFormat/>
    <w:rsid w:val="001256A1"/>
    <w:pPr>
      <w:keepNext/>
      <w:ind w:left="360"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256A1"/>
    <w:rPr>
      <w:rFonts w:ascii="Arial" w:hAnsi="Arial"/>
      <w:b/>
      <w:sz w:val="22"/>
      <w:lang w:eastAsia="it-IT"/>
    </w:rPr>
  </w:style>
  <w:style w:type="character" w:customStyle="1" w:styleId="Titolo3Carattere">
    <w:name w:val="Titolo 3 Carattere"/>
    <w:link w:val="Titolo3"/>
    <w:semiHidden/>
    <w:rsid w:val="001256A1"/>
    <w:rPr>
      <w:rFonts w:ascii="Calibri Light" w:hAnsi="Calibri Light"/>
      <w:b/>
      <w:bCs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1256A1"/>
    <w:rPr>
      <w:rFonts w:ascii="Arial" w:hAnsi="Arial"/>
      <w:b/>
      <w:sz w:val="32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1256A1"/>
    <w:rPr>
      <w:rFonts w:ascii="Arial" w:hAnsi="Arial"/>
      <w:b/>
      <w:sz w:val="24"/>
      <w:lang w:eastAsia="it-IT"/>
    </w:rPr>
  </w:style>
  <w:style w:type="character" w:styleId="Enfasigrassetto">
    <w:name w:val="Strong"/>
    <w:uiPriority w:val="22"/>
    <w:qFormat/>
    <w:rsid w:val="001256A1"/>
    <w:rPr>
      <w:b/>
      <w:bCs/>
    </w:rPr>
  </w:style>
  <w:style w:type="table" w:styleId="Grigliatabella">
    <w:name w:val="Table Grid"/>
    <w:basedOn w:val="Tabellanormale"/>
    <w:uiPriority w:val="39"/>
    <w:rsid w:val="00BB1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0C09B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51ED8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51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4F5AA-ACC2-48C4-85D2-A5439C82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d'Alfonso</dc:creator>
  <cp:lastModifiedBy>Federico Favali</cp:lastModifiedBy>
  <cp:revision>36</cp:revision>
  <dcterms:created xsi:type="dcterms:W3CDTF">2022-12-10T08:27:00Z</dcterms:created>
  <dcterms:modified xsi:type="dcterms:W3CDTF">2024-05-11T07:54:00Z</dcterms:modified>
</cp:coreProperties>
</file>