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AMMINISTRATORI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SINDACO</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Sindaco</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Nomina e revoca assessori</w:t>
      </w:r>
    </w:p>
    <w:p>
      <w:pPr>
        <w:jc w:val="both"/>
      </w:pPr>
      <w:r>
        <w:rPr>
          <w:sz w:val="22"/>
          <w:szCs w:val="22"/>
        </w:rPr>
        <w:t xml:space="preserve">Nomina Segretario generale</w:t>
      </w:r>
    </w:p>
    <w:p>
      <w:pPr>
        <w:jc w:val="both"/>
      </w:pPr>
      <w:r>
        <w:rPr>
          <w:sz w:val="22"/>
          <w:szCs w:val="22"/>
        </w:rPr>
        <w:t xml:space="preserve">Attribuzione e revoca incarichi al personale dirigente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