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pPr>
              <w:jc w:val="both"/>
            </w:pPr>
            <w:r>
              <w:rPr>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relativi ad altri provvedimenti o procedimenti sanzionatori, disciplinari, amministrativi o contabili</w:t>
            </w:r>
          </w:p>
          <w:p>
            <w:pPr>
              <w:jc w:val="both"/>
            </w:pPr>
            <w:r>
              <w:rPr>
                <w:sz w:val="22"/>
                <w:szCs w:val="22"/>
              </w:rPr>
              <w:t xml:space="preserve">- Dati relativi al comportamento debitorio</w:t>
            </w:r>
          </w:p>
          <w:p>
            <w:pPr>
              <w:jc w:val="both"/>
            </w:pPr>
            <w:r>
              <w:rPr>
                <w:sz w:val="22"/>
                <w:szCs w:val="22"/>
              </w:rPr>
              <w:t xml:space="preserve">- Dati relativi all'affidabilita' o puntualita' nei pagamenti</w:t>
            </w:r>
          </w:p>
          <w:p>
            <w:pPr>
              <w:jc w:val="both"/>
            </w:pPr>
            <w:r>
              <w:rPr>
                <w:sz w:val="22"/>
                <w:szCs w:val="22"/>
              </w:rPr>
              <w:t xml:space="preserve">- Dati idonei a rivelare l'origine razziale ed etnica</w:t>
            </w:r>
          </w:p>
          <w:p>
            <w:pPr>
              <w:jc w:val="both"/>
            </w:pPr>
            <w:r>
              <w:rPr>
                <w:sz w:val="22"/>
                <w:szCs w:val="22"/>
              </w:rPr>
              <w:t xml:space="preserve">- Dati relativi a comportamenti illeciti o fraudolenti</w:t>
            </w:r>
          </w:p>
          <w:p>
            <w:pPr>
              <w:jc w:val="both"/>
            </w:pPr>
            <w:r>
              <w:rPr>
                <w:sz w:val="22"/>
                <w:szCs w:val="22"/>
              </w:rPr>
              <w:t xml:space="preserve">- Dati relativi all'adempimento di obbligazioni</w:t>
            </w:r>
          </w:p>
          <w:p>
            <w:pPr>
              <w:jc w:val="both"/>
            </w:pPr>
            <w:r>
              <w:rPr>
                <w:sz w:val="22"/>
                <w:szCs w:val="22"/>
              </w:rPr>
              <w:t xml:space="preserve">- Dati idonei a rivelare lo stato di disabilita'</w:t>
            </w:r>
          </w:p>
          <w:p>
            <w:pPr>
              <w:jc w:val="both"/>
            </w:pPr>
            <w:r>
              <w:rPr>
                <w:sz w:val="22"/>
                <w:szCs w:val="22"/>
              </w:rPr>
              <w:t xml:space="preserve">- Dati idonei a rivelare il rapporto di parentela o affinita'</w:t>
            </w:r>
          </w:p>
          <w:p>
            <w:pPr>
              <w:jc w:val="both"/>
            </w:pPr>
            <w:r>
              <w:rPr>
                <w:sz w:val="22"/>
                <w:szCs w:val="22"/>
              </w:rPr>
              <w:t xml:space="preserve">- Dati relativi al rischio sulla solvibilita' economica, alla situazione patrimoniale, al corretto adempimento di obbligazioni, a comportamenti illeciti o fraudolenti</w:t>
            </w:r>
          </w:p>
          <w:p>
            <w:pPr>
              <w:jc w:val="both"/>
            </w:pPr>
            <w:r>
              <w:rPr>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sz w:val="22"/>
                <w:szCs w:val="22"/>
              </w:rPr>
              <w:t xml:space="preserve">b) altri soggetti partecipanti alla procedura di affidamento;</w:t>
            </w:r>
          </w:p>
          <w:p>
            <w:pPr>
              <w:jc w:val="both"/>
            </w:pPr>
            <w:r>
              <w:rPr>
                <w:sz w:val="22"/>
                <w:szCs w:val="22"/>
              </w:rPr>
              <w:t xml:space="preserve">c) consulenti e soggetti, pubblici o privati, che effettuano servizi di committenza ausiliaria;</w:t>
            </w:r>
          </w:p>
          <w:p>
            <w:pPr>
              <w:jc w:val="both"/>
            </w:pPr>
            <w:r>
              <w:rPr>
                <w:sz w:val="22"/>
                <w:szCs w:val="22"/>
              </w:rPr>
              <w:t xml:space="preserve">d) avvocati incaricati dell'eventuale contenzioso</w:t>
            </w:r>
          </w:p>
          <w:p>
            <w:pPr>
              <w:jc w:val="both"/>
            </w:pPr>
            <w:r>
              <w:rPr>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Il periodo di conservazione dei dati e' di 10 anni dall'aggiudicazione definitiva per la stazione appaltante e dalla conclusione dell'esecuzione del contratto per la Committente. I dati potranno essere conservati, anche in forma aggregata, per fini di studio o statistici nel rispetto degli artt. 89 del Regolamento UE e 110 bis del Codice Privacy</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Convenzioni con associazioni e altri enti di diritto privato non di competenza del Consiglio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