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Convenzioni con associazioni e altri enti di diritto privato non di competenza del Consiglio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