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Attivita' trasversale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ATTIVITA' TRASVERSALE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Attivita' trasversale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Autorita' di controllo indipendenti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R.P.D./D.P.O. - Responsabile Protezione Dati avv. Cora' Nadia</w:t>
            </w:r>
          </w:p>
          <w:p>
            <w:pPr>
              <w:jc w:val="both"/>
            </w:pPr>
            <w:r>
              <w:rPr>
                <w:sz w:val="22"/>
                <w:szCs w:val="22"/>
              </w:rPr>
              <w:t xml:space="preserve">MASFOR s.r.l. - Canedoli Matteo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sz w:val="22"/>
                <w:szCs w:val="22"/>
              </w:rPr>
              <w:t xml:space="preserve">a) alle organizzazioni sindacali ai fini della gestione dei permessi e delle trattenute sindacali relativamente ai dipendenti che hanno rilasciato delega; </w:t>
            </w:r>
          </w:p>
          <w:p>
            <w:pPr>
              <w:jc w:val="both"/>
            </w:pPr>
            <w:r>
              <w:rPr>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sz w:val="22"/>
                <w:szCs w:val="22"/>
              </w:rPr>
              <w:t xml:space="preserve">c) alla Presidenza del Consiglio dei Ministri in relazione alla rilevazione annuale dei permessi per cariche sindacali e funzioni pubbliche elettive (d.lgs. n. 165/2001); </w:t>
            </w:r>
          </w:p>
          <w:p>
            <w:pPr>
              <w:jc w:val="both"/>
            </w:pPr>
            <w:r>
              <w:rPr>
                <w:sz w:val="22"/>
                <w:szCs w:val="22"/>
              </w:rPr>
              <w:t xml:space="preserve">d) uffici competenti per il collocamento mirato, relativamente ai dati anagrafici degli assunti appartenenti alle "categorie protette"; </w:t>
            </w:r>
          </w:p>
          <w:p>
            <w:pPr>
              <w:jc w:val="both"/>
            </w:pPr>
            <w:r>
              <w:rPr>
                <w:sz w:val="22"/>
                <w:szCs w:val="22"/>
              </w:rPr>
              <w:t xml:space="preserve">e) strutture sanitarie competenti per le visite fiscali (art. 5, l. n. 300/1970 e CCNL); </w:t>
            </w:r>
          </w:p>
          <w:p>
            <w:pPr>
              <w:jc w:val="both"/>
            </w:pPr>
            <w:r>
              <w:rPr>
                <w:sz w:val="22"/>
                <w:szCs w:val="22"/>
              </w:rPr>
              <w:t xml:space="preserve">f) enti di appartenenza dei lavoratori comandati in entrata (per definire il trattamento retributivo del dipendente); </w:t>
            </w:r>
          </w:p>
          <w:p>
            <w:pPr>
              <w:jc w:val="both"/>
            </w:pPr>
            <w:r>
              <w:rPr>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Nomina Responsabile Unico del Procedimento (RUP)</w:t>
      </w:r>
    </w:p>
    <w:p>
      <w:pPr>
        <w:jc w:val="both"/>
      </w:pPr>
      <w:r>
        <w:rPr>
          <w:sz w:val="22"/>
          <w:szCs w:val="22"/>
        </w:rPr>
        <w:t xml:space="preserve">Conferimento di incarichi di collaborazione, studio e ricerca nonche' di consulenza a soggetti estranei all'amministrazione </w:t>
      </w:r>
    </w:p>
    <w:p>
      <w:pPr>
        <w:jc w:val="both"/>
      </w:pPr>
      <w:r>
        <w:rPr>
          <w:sz w:val="22"/>
          <w:szCs w:val="22"/>
        </w:rPr>
        <w:t xml:space="preserve">Registro dei responsabili del trattamento relativo alle attivita' di trattamento dei dati personali</w:t>
      </w:r>
    </w:p>
    <w:p>
      <w:pPr>
        <w:jc w:val="both"/>
      </w:pPr>
      <w:r>
        <w:rPr>
          <w:sz w:val="22"/>
          <w:szCs w:val="22"/>
        </w:rPr>
        <w:t xml:space="preserve">Registro del titolare del trattamento dei dati personali</w:t>
      </w:r>
    </w:p>
    <w:p>
      <w:pPr>
        <w:jc w:val="both"/>
      </w:pPr>
      <w:r>
        <w:rPr>
          <w:sz w:val="22"/>
          <w:szCs w:val="22"/>
        </w:rPr>
        <w:t xml:space="preserve">Valutazione dei rischi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