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CONSIGLIO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Consiglio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Procedure di valutazione relative all'analisi dell'impatto della regolamentazione (AIR) ai sensi dell'art.14, comma 1, della legge 28 novembre 2005, n. 246</w:t>
      </w:r>
    </w:p>
    <w:p>
      <w:pPr>
        <w:jc w:val="both"/>
      </w:pPr>
      <w:r>
        <w:rPr>
          <w:sz w:val="22"/>
          <w:szCs w:val="22"/>
        </w:rPr>
        <w:t xml:space="preserve">Mozioni, ordini del giorno, risoluzioni, interrogazioni ed interpellanze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