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DEMOGRAFICI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Anagrafe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04 - Servizi demografici/Stato civile - Trattamento di dati relativi all'attivita' di gestione dei registri di stato civile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DEMOGRAFICI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Anagrafe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04 - Indipendentemente dall'alto numero di dati contenuti negli archivi anagrafici, quelli di carattere "sensibile" sono quelli concernenti l'origine razziale, in quanto tali idonei a rivelare le convinzioni religiose, inseriti negli anni 1938-44 in virtu' delle "leggi razziali"; questi dati, che sono idonei a rivelare in taluni casi anche le convinzioni religiose, non sono comunque resi noti (art. 3, r.d.l. n. 25/1944); ulteriori informazioni sull'origine razziale o etnica possono essere desunte dagli atti relativi alle adozioni internazionali. Altri dati sensibili contenuti in tali archivi possono essere raccolti anche da terzi e comunicati all'Autorita' giudiziaria per le cause di interdizione e decesso, alla ASL per l'aggiornamento del registro delle cause di morte. Vengono altresi' trattati dati di carattere giudiziario;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(artt. 84 e ss.; artt. 106 e ss.; artt. 423 - 430) - L. 14.04.1982, n. 164 - D.P.R. 3.11.2000, n. 396 - D.P.R. 10.09.1990, n. 285</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Sistema informativo relativo all'attivita' di gestione dei registri di stato civile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rivelare la vita sessuale (soltanto in caso di eventuale rettificazione di attribuzione di sesso)</w:t>
            </w:r>
          </w:p>
          <w:p>
            <w:pPr>
              <w:jc w:val="both"/>
            </w:pPr>
            <w:r>
              <w:rPr>
                <w:sz w:val="22"/>
                <w:szCs w:val="22"/>
              </w:rPr>
              <w:t xml:space="preserve">- Dati idonei a rivelare l'origine razziale (iscrizioni avvenute negli anni 1938-44)</w:t>
            </w:r>
          </w:p>
          <w:p>
            <w:pPr>
              <w:jc w:val="both"/>
            </w:pPr>
            <w:r>
              <w:rPr>
                <w:sz w:val="22"/>
                <w:szCs w:val="22"/>
              </w:rPr>
              <w:t xml:space="preserve">- Dati idonei a rilevare le convinzioni religiose (iscrizioni avvenute negli anni 1938-44)</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04 -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(atti e dei registri dello stato civile)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04 - Particolari forme di elaborazione - Comunicazione ai seguenti soggetti per le seguenti finalita' (con specificazione ed indicazione dell'eventuale base normativa): </w:t>
            </w:r>
          </w:p>
          <w:p>
            <w:pPr>
              <w:jc w:val="both"/>
            </w:pPr>
            <w:r>
              <w:rPr>
                <w:sz w:val="22"/>
                <w:szCs w:val="22"/>
              </w:rPr>
              <w:t xml:space="preserve">a) ASL (per l'aggiornamento del registro delle cause di morte)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Obbligo di inserire in ogni file oggetto di pubblicazione sui siti web istituzionali, potendo essere letto in un altro ambito e in un momento successivo alla sua diffusione, dei 'dati di contesto' (es. data di aggiornamento, periodo di validita', amministrazione, segnatura di protocollo o dell'albo), per liminare o ridurre il rischio di cancellazioni, modifiche, alterazioni o decontestualizzazioni</w:t>
            </w:r>
          </w:p>
          <w:p>
            <w:pPr>
              <w:jc w:val="both"/>
            </w:pPr>
            <w:r>
              <w:rPr>
                <w:sz w:val="22"/>
                <w:szCs w:val="22"/>
              </w:rPr>
              <w:t xml:space="preserve">-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Accertamento requisiti di dimora abituale delle variazioni di residenza</w:t>
      </w:r>
    </w:p>
    <w:p>
      <w:pPr>
        <w:jc w:val="both"/>
      </w:pPr>
      <w:r>
        <w:rPr>
          <w:sz w:val="22"/>
          <w:szCs w:val="22"/>
        </w:rPr>
        <w:t xml:space="preserve">Registro convivenze di fatto</w:t>
      </w:r>
    </w:p>
    <w:p>
      <w:pPr>
        <w:jc w:val="both"/>
      </w:pPr>
      <w:r>
        <w:rPr>
          <w:sz w:val="22"/>
          <w:szCs w:val="22"/>
        </w:rPr>
        <w:t xml:space="preserve">Anagrafe: Iscrizioni registri anagrafici</w:t>
      </w:r>
    </w:p>
    <w:p>
      <w:pPr>
        <w:jc w:val="both"/>
      </w:pPr>
      <w:r>
        <w:rPr>
          <w:sz w:val="22"/>
          <w:szCs w:val="22"/>
        </w:rPr>
        <w:t xml:space="preserve">Anagrafe: Cancellazioni registri anagrafici per irreperibilita'</w:t>
      </w:r>
    </w:p>
    <w:p>
      <w:pPr>
        <w:jc w:val="both"/>
      </w:pPr>
      <w:r>
        <w:rPr>
          <w:sz w:val="22"/>
          <w:szCs w:val="22"/>
        </w:rPr>
        <w:t xml:space="preserve">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p>
      <w:pPr>
        <w:jc w:val="both"/>
      </w:pPr>
      <w:r>
        <w:rPr>
          <w:sz w:val="22"/>
          <w:szCs w:val="22"/>
        </w:rPr>
        <w:t xml:space="preserve">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p>
      <w:pPr>
        <w:jc w:val="both"/>
      </w:pPr>
      <w:r>
        <w:rPr>
          <w:sz w:val="22"/>
          <w:szCs w:val="22"/>
        </w:rPr>
        <w:t xml:space="preserve">Anagrafe: Adeguamento anagrafe ai risultati del censimento</w:t>
      </w:r>
    </w:p>
    <w:p>
      <w:pPr>
        <w:jc w:val="both"/>
      </w:pPr>
      <w:r>
        <w:rPr>
          <w:sz w:val="22"/>
          <w:szCs w:val="22"/>
        </w:rPr>
        <w:t xml:space="preserve">Stato civile: Acquisto della cittadinanza per matrimonio</w:t>
      </w:r>
    </w:p>
    <w:p>
      <w:pPr>
        <w:jc w:val="both"/>
      </w:pPr>
      <w:r>
        <w:rPr>
          <w:sz w:val="22"/>
          <w:szCs w:val="22"/>
        </w:rPr>
        <w:t xml:space="preserve">Toponomastica: Attribuzione numero civico</w:t>
      </w:r>
    </w:p>
    <w:p>
      <w:pPr>
        <w:jc w:val="both"/>
      </w:pPr>
      <w:r>
        <w:rPr>
          <w:sz w:val="22"/>
          <w:szCs w:val="22"/>
        </w:rPr>
        <w:t xml:space="preserve">Toponomastica: Denominazione nuove strade e piazze</w:t>
      </w:r>
    </w:p>
    <w:p>
      <w:pPr>
        <w:jc w:val="both"/>
      </w:pPr>
      <w:r>
        <w:rPr>
          <w:sz w:val="22"/>
          <w:szCs w:val="22"/>
        </w:rPr>
        <w:t xml:space="preserve">Anagrafe: Variazione di indirizzo</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