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DEMOGRAFICI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Polizia mortuaria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27 - Polizia municipale - Trattamento di dati relativi all'attivita' di vigilanza edilizia, in materia di ambiente e sanita', nonche' di polizia mortuaria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DEMOGRAFICI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Polizia mortuaria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27 - I dati giudiziari e sulla salute vengono acquisiti attraverso i controlli svolti sul territorio, che sono effettuati su iniziativa d'ufficio, ovvero su richiesta di privati, di enti e di associazioni; oltre alla verifica in loco, vengono avviati i necessari accertamenti presso gli uffici competenti, al termine dei quali viene predisposta una relazione finale con l'indicazione delle eventuali violazioni in materia sanitaria o ambientale riscontrate. In tal caso, si procede a trasmetterle alle competenti autorita' amministrative o penali. Vengono, inoltre,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 Per quanto concerne l'attivita' di polizia mortuaria, ed i connessi servizi cimiteriali, i dati vengono forniti direttamente dagli interessati, dai familiari o dal rappresentante della comunita' religiosa, che presentano apposita domanda al Comune al fine di ottenere delle particolari forme di sepoltura. I dati sulla salute vengono trattati in quanto i medici debbono denunciare al sindaco la malattia che, a loro giudizio, sarebbe stata la causa di morte di persona da loro assistita. Il comune a sua volta comunica le cause di morte all'ISTAT per le rilevazioni annuali, nonche' alla ASL competente per territorio per l'aggiornamento del registro delle cause di morte.</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L. 28.02.1985, n. 47 - D.Lgs. 5.02.1997, n. 22 - D.Lgs. 29.10.1999, n. 490 - D.P.R. 10.09.1990, n. 285 -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Trattamento effettuato per finalita' relative a: attivita' di polizia amministrativa locale, con particolare riferimento ai servizi di igiene, di polizia mortuaria e ai controlli in materia di ambiente compreso l'inquinamento acustico, tutela delle risorse idriche e difesa del suolo.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27 - Trattamento effettuato per rilevanti finalita' di interesse pubblico nella seguente materia: attivita' di controllo e ispettive ai sensi dell'art. 2-sexies, comma 2 lett. l) D.Lgs. n. 196/2003 come modificato dal D.Lgs. n. 101/2018 (attivita' di polizia amministrativa locale, con particolare riferimento ai servizi di igiene, di polizia mortuaria e ai controlli in materia di ambiente compreso l'inquinamento acustico, tutela delle risorse idriche e difesa del suolo)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27 - Particolari forme di elaborazione - Comunicazione ai seguenti soggetti per le seguenti finalita' (con specificazione ed indicazione dell'eventuale base normativa): </w:t>
            </w:r>
          </w:p>
          <w:p>
            <w:pPr>
              <w:jc w:val="both"/>
            </w:pPr>
            <w:r>
              <w:rPr>
                <w:sz w:val="22"/>
                <w:szCs w:val="22"/>
              </w:rPr>
              <w:t xml:space="preserve">a) ISTAT (per le rilevazioni annuali della cause di morte); </w:t>
            </w:r>
          </w:p>
          <w:p>
            <w:pPr>
              <w:jc w:val="both"/>
            </w:pPr>
            <w:r>
              <w:rPr>
                <w:sz w:val="22"/>
                <w:szCs w:val="22"/>
              </w:rPr>
              <w:t xml:space="preserve">b) ASL (per l'aggiornamento del registro delle cause di morte); </w:t>
            </w:r>
          </w:p>
          <w:p>
            <w:pPr>
              <w:jc w:val="both"/>
            </w:pPr>
            <w:r>
              <w:rPr>
                <w:sz w:val="22"/>
                <w:szCs w:val="22"/>
              </w:rPr>
              <w:t xml:space="preserve">c) all'ente gestore degli alloggi mortuari (per l'erogazione del servizio)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sz w:val="22"/>
                <w:szCs w:val="22"/>
              </w:rPr>
              <w:t xml:space="preserve">- Cittadini italiani</w:t>
            </w:r>
          </w:p>
          <w:p>
            <w:pPr>
              <w:jc w:val="both"/>
            </w:pPr>
            <w:r>
              <w:rPr>
                <w:sz w:val="22"/>
                <w:szCs w:val="22"/>
              </w:rPr>
              <w:t xml:space="preserve">- Persone giuridiche ed altri enti (comprende societa' di persone)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Organismi del servizio sanitario nazionale</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Gestione e dislocamento delle salme</w:t>
      </w:r>
    </w:p>
    <w:p>
      <w:pPr>
        <w:jc w:val="both"/>
      </w:pPr>
      <w:r>
        <w:rPr>
          <w:sz w:val="22"/>
          <w:szCs w:val="22"/>
        </w:rPr>
        <w:t xml:space="preserve">Sorveglianza sul collocamento delle ceneri in sepoltura o l'affidamento delle stesse ai familiari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