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AFFARI GENERALI E ISTITUZIONALI</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Segreteria generale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Assistenza attivita' di valutazione della performance e assegnazione punteggi e premi degli OIV/Nuclei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