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33 - Trattamento di dati relativi all'attivita' politica, di indirizzo e di controllo, sindacato ispettivo e documentazione dell'attivita' istituzionale degli organi comunali</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Redazione delibera/determina</w:t>
      </w:r>
    </w:p>
    <w:p>
      <w:pPr>
        <w:jc w:val="both"/>
      </w:pPr>
      <w:r>
        <w:rPr>
          <w:sz w:val="22"/>
          <w:szCs w:val="22"/>
        </w:rPr>
        <w:t xml:space="preserve">Controllo strategico ai sensi dell'art. 147-ter del D.Lgs. 267/2000</w:t>
      </w:r>
    </w:p>
    <w:p>
      <w:pPr>
        <w:jc w:val="both"/>
      </w:pPr>
      <w:r>
        <w:rPr>
          <w:sz w:val="22"/>
          <w:szCs w:val="22"/>
        </w:rPr>
        <w:t xml:space="preserve">Controllo della qualita' dei servizi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