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Controllo successivo di regolarita' amministrativa e contabile ai sensi dell'art. 147-bis del D.Lgs. 267/2000</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