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grammi, piani e progetti esecutivi attuativi del programma amministrativo del Sindaco, che non rientrano nella competenza del Consiglio comunale o nelle funzioni di gestione dell'En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grammi, piani e progetti esecutivi attuativi del programma amministrativo del Sindaco, che non rientrano nella competenza del Consiglio comunale o nelle funzioni di gestione dell'En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