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AMMINISTRATORI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Procedure di valutazione relative all'analisi dell'impatto della regolamentazione (AIR) ai sensi dell'art.14, comma 1, della legge 28 novembre 2005, n. 246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Vice Segretario Favali Federico federico.favali@comune.vetto.re.it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Procedure di valutazione relative all'analisi dell'impatto della regolamentazione (AIR) ai sensi dell'art.14, comma 1, della legge 28 novembre 2005, n. 246.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