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i con associazioni e altri enti di diritto privato non di competenza del Consigl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i con associazioni e altri enti di diritto privato non di competenza del Consigl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